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F3CB2" w:rsidRDefault="00000000">
      <w:pPr>
        <w:tabs>
          <w:tab w:val="left" w:pos="372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7F3CB2" w:rsidRDefault="00000000">
      <w:pPr>
        <w:tabs>
          <w:tab w:val="left" w:pos="372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7F3CB2" w:rsidRDefault="00000000">
      <w:pPr>
        <w:tabs>
          <w:tab w:val="left" w:pos="3725"/>
        </w:tabs>
        <w:rPr>
          <w:b/>
          <w:bCs/>
          <w:sz w:val="28"/>
          <w:szCs w:val="28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7F3CB2" w:rsidRDefault="00000000" w:rsidP="00F13E95">
      <w:pPr>
        <w:pStyle w:val="berschrift1"/>
      </w:pPr>
      <w:r>
        <w:t>Die Bedeutung des Raumes für eine bedürfnisorientierte Hochschuldidaktik: Eine bildgestützte Interviewstudie unter Anwendung reflexiver Fotografie zur Gestaltung bedürfnis- und zukunftsorientierter Lernräume</w:t>
      </w:r>
    </w:p>
    <w:p w:rsidR="007F3CB2" w:rsidRDefault="007F3CB2"/>
    <w:p w:rsidR="007F3CB2" w:rsidRDefault="007F3CB2"/>
    <w:p w:rsidR="007F3CB2" w:rsidRDefault="00000000">
      <w:proofErr w:type="spellStart"/>
      <w:r>
        <w:t>Joia</w:t>
      </w:r>
      <w:proofErr w:type="spellEnd"/>
      <w:r>
        <w:t xml:space="preserve"> </w:t>
      </w:r>
      <w:proofErr w:type="spellStart"/>
      <w:r>
        <w:t>Handl</w:t>
      </w:r>
      <w:proofErr w:type="spellEnd"/>
      <w:r>
        <w:t>, PH Heidelberg</w:t>
      </w:r>
    </w:p>
    <w:p w:rsidR="007F3CB2" w:rsidRDefault="007F3CB2"/>
    <w:p w:rsidR="007F3CB2" w:rsidRDefault="007F3CB2">
      <w:pPr>
        <w:rPr>
          <w:b/>
          <w:bCs/>
        </w:rPr>
      </w:pPr>
    </w:p>
    <w:p w:rsidR="007F3CB2" w:rsidRDefault="00000000">
      <w:pPr>
        <w:rPr>
          <w:b/>
          <w:bCs/>
        </w:rPr>
      </w:pPr>
      <w:r>
        <w:rPr>
          <w:b/>
          <w:bCs/>
        </w:rPr>
        <w:t xml:space="preserve">Beitragsart: Poster </w:t>
      </w:r>
    </w:p>
    <w:p w:rsidR="007F3CB2" w:rsidRDefault="007F3CB2"/>
    <w:p w:rsidR="007F3CB2" w:rsidRDefault="007F3CB2"/>
    <w:p w:rsidR="007F3CB2" w:rsidRDefault="00000000">
      <w:pPr>
        <w:jc w:val="both"/>
      </w:pPr>
      <w:r>
        <w:t>Gesamtgesellschaftliche Transformationsprozesse haben die Relevanz bedürfnisorientierter Lehr-Lernsettings in den Fokus gerückt (Prill, 2022).</w:t>
      </w:r>
    </w:p>
    <w:p w:rsidR="007F3CB2" w:rsidRDefault="00000000">
      <w:pPr>
        <w:jc w:val="both"/>
      </w:pPr>
      <w:r>
        <w:t>Der Lernraum gilt dabei als relationale (An)Ordnung von Lebewesen und sozialen Gütern und stellt eine zentrale Voraussetzung für die Umsetzung von Lehr-Lernprozessen dar (Löw, 2020; Esslinger-Hinz, 2021). In einer qualitativen Studie werden mittels narrativer Interviews mit Studierenden sowie dem visuell-soziologischen Ansatz der reflexiven Fotografie hochschulische und private Lernräume untersucht. Ziel ist es zu erfassen, welche materiell-räumlichen und sozialen Gegebenheiten die Erfüllung der körperbezogenen studentischen Bedürfnisse unterstützen oder hemmen (Ryan &amp; Deci, 2020). Die Ergebnisse dienen als Impulse für die partizipative Gestaltung zukunfts- und bedürfnisorientierter Lernräume und stärken damit eine studierendenzentrierte Lehr-Lernkultur (</w:t>
      </w:r>
      <w:proofErr w:type="spellStart"/>
      <w:r>
        <w:t>Ninnemann</w:t>
      </w:r>
      <w:proofErr w:type="spellEnd"/>
      <w:r>
        <w:t>, 2022).</w:t>
      </w:r>
    </w:p>
    <w:p w:rsidR="007F3CB2" w:rsidRDefault="007F3CB2">
      <w:pPr>
        <w:jc w:val="both"/>
      </w:pPr>
    </w:p>
    <w:p w:rsidR="007F3CB2" w:rsidRDefault="007F3CB2">
      <w:pPr>
        <w:jc w:val="both"/>
      </w:pPr>
    </w:p>
    <w:p w:rsidR="007F3CB2" w:rsidRDefault="00000000">
      <w:pPr>
        <w:jc w:val="both"/>
      </w:pPr>
      <w:r>
        <w:rPr>
          <w:shd w:val="clear" w:color="auto" w:fill="FFFFFF"/>
        </w:rPr>
        <w:t>Literatur</w:t>
      </w:r>
    </w:p>
    <w:p w:rsidR="007F3CB2" w:rsidRDefault="007F3CB2">
      <w:pPr>
        <w:jc w:val="both"/>
        <w:rPr>
          <w:i/>
          <w:iCs/>
          <w:shd w:val="clear" w:color="auto" w:fill="FFFFFF"/>
        </w:rPr>
      </w:pPr>
    </w:p>
    <w:p w:rsidR="007F3CB2" w:rsidRDefault="00000000" w:rsidP="00AB381C">
      <w:pPr>
        <w:pStyle w:val="StandardWeb"/>
        <w:spacing w:beforeAutospacing="0" w:after="80" w:afterAutospacing="0"/>
        <w:jc w:val="both"/>
      </w:pPr>
      <w:r>
        <w:rPr>
          <w:rFonts w:asciiTheme="minorHAnsi" w:hAnsiTheme="minorHAnsi"/>
          <w:color w:val="000000"/>
          <w:sz w:val="20"/>
          <w:szCs w:val="20"/>
        </w:rPr>
        <w:t>Esslinger-Hinz, I. (2021</w:t>
      </w:r>
      <w:r>
        <w:rPr>
          <w:rFonts w:asciiTheme="minorHAnsi" w:hAnsiTheme="minorHAnsi"/>
          <w:i/>
          <w:iCs/>
          <w:color w:val="000000"/>
          <w:sz w:val="20"/>
          <w:szCs w:val="20"/>
        </w:rPr>
        <w:t>).</w:t>
      </w:r>
      <w:r>
        <w:rPr>
          <w:rStyle w:val="apple-converted-space"/>
          <w:rFonts w:asciiTheme="minorHAnsi" w:eastAsiaTheme="majorEastAsia" w:hAnsiTheme="minorHAnsi"/>
          <w:i/>
          <w:iCs/>
          <w:color w:val="000000"/>
          <w:sz w:val="20"/>
          <w:szCs w:val="20"/>
        </w:rPr>
        <w:t> </w:t>
      </w:r>
      <w:r>
        <w:rPr>
          <w:rStyle w:val="Hervorhebung"/>
          <w:rFonts w:asciiTheme="minorHAnsi" w:eastAsiaTheme="majorEastAsia" w:hAnsiTheme="minorHAnsi"/>
          <w:i w:val="0"/>
          <w:iCs w:val="0"/>
          <w:color w:val="000000"/>
          <w:sz w:val="20"/>
          <w:szCs w:val="20"/>
        </w:rPr>
        <w:t>Kultursensible Didaktik: Eine Einführung in Theorie und Praxis</w:t>
      </w:r>
      <w:r>
        <w:rPr>
          <w:rFonts w:asciiTheme="minorHAnsi" w:hAnsiTheme="minorHAnsi"/>
          <w:i/>
          <w:iCs/>
          <w:color w:val="000000"/>
          <w:sz w:val="20"/>
          <w:szCs w:val="20"/>
        </w:rPr>
        <w:t>. Beltz.</w:t>
      </w:r>
    </w:p>
    <w:p w:rsidR="007F3CB2" w:rsidRPr="00AB381C" w:rsidRDefault="00000000" w:rsidP="00AB381C">
      <w:pPr>
        <w:pStyle w:val="StandardWeb"/>
        <w:spacing w:beforeAutospacing="0" w:after="80" w:afterAutospacing="0"/>
        <w:jc w:val="both"/>
      </w:pPr>
      <w:r>
        <w:rPr>
          <w:rFonts w:asciiTheme="minorHAnsi" w:hAnsiTheme="minorHAnsi"/>
          <w:color w:val="000000"/>
          <w:sz w:val="20"/>
          <w:szCs w:val="20"/>
        </w:rPr>
        <w:t>Löw, M. (2020).</w:t>
      </w:r>
      <w:r>
        <w:rPr>
          <w:rStyle w:val="apple-converted-space"/>
          <w:rFonts w:asciiTheme="minorHAnsi" w:eastAsiaTheme="majorEastAsia" w:hAnsiTheme="minorHAnsi"/>
          <w:color w:val="000000"/>
          <w:sz w:val="20"/>
          <w:szCs w:val="20"/>
        </w:rPr>
        <w:t> </w:t>
      </w:r>
      <w:r>
        <w:rPr>
          <w:rStyle w:val="Hervorhebung"/>
          <w:rFonts w:asciiTheme="minorHAnsi" w:eastAsiaTheme="majorEastAsia" w:hAnsiTheme="minorHAnsi"/>
          <w:color w:val="000000"/>
          <w:sz w:val="20"/>
          <w:szCs w:val="20"/>
        </w:rPr>
        <w:t>Raumsoziologie</w:t>
      </w:r>
      <w:r>
        <w:rPr>
          <w:rStyle w:val="apple-converted-space"/>
          <w:rFonts w:asciiTheme="minorHAnsi" w:eastAsiaTheme="majorEastAsia" w:hAnsiTheme="minorHAnsi"/>
          <w:color w:val="000000"/>
          <w:sz w:val="20"/>
          <w:szCs w:val="20"/>
        </w:rPr>
        <w:t> </w:t>
      </w:r>
      <w:r>
        <w:rPr>
          <w:rFonts w:asciiTheme="minorHAnsi" w:hAnsiTheme="minorHAnsi"/>
          <w:color w:val="000000"/>
          <w:sz w:val="20"/>
          <w:szCs w:val="20"/>
        </w:rPr>
        <w:t>(11. Aufl.). Suhrkamp.</w:t>
      </w:r>
    </w:p>
    <w:p w:rsidR="007F3CB2" w:rsidRPr="00AB381C" w:rsidRDefault="00000000" w:rsidP="00AB381C">
      <w:pPr>
        <w:pStyle w:val="StandardWeb"/>
        <w:spacing w:beforeAutospacing="0" w:after="80" w:afterAutospacing="0"/>
        <w:jc w:val="both"/>
      </w:pPr>
      <w:proofErr w:type="spellStart"/>
      <w:r>
        <w:rPr>
          <w:rFonts w:asciiTheme="minorHAnsi" w:hAnsiTheme="minorHAnsi"/>
          <w:color w:val="000000"/>
          <w:sz w:val="20"/>
          <w:szCs w:val="20"/>
        </w:rPr>
        <w:t>Ninnemann</w:t>
      </w:r>
      <w:proofErr w:type="spellEnd"/>
      <w:r>
        <w:rPr>
          <w:rFonts w:asciiTheme="minorHAnsi" w:hAnsiTheme="minorHAnsi"/>
          <w:color w:val="000000"/>
          <w:sz w:val="20"/>
          <w:szCs w:val="20"/>
        </w:rPr>
        <w:t>, K. (2022). Perspektive Lernraumorganisation: Herausforderungen und Chancen zur nachhaltigen Implementierung innovativer Hochschullehre. In N. Leben, K. Reinecke &amp; U. Sonntag (Hrsg</w:t>
      </w:r>
      <w:r>
        <w:rPr>
          <w:rFonts w:asciiTheme="minorHAnsi" w:hAnsiTheme="minorHAnsi"/>
          <w:i/>
          <w:iCs/>
          <w:color w:val="000000"/>
          <w:sz w:val="20"/>
          <w:szCs w:val="20"/>
        </w:rPr>
        <w:t xml:space="preserve">.) </w:t>
      </w:r>
      <w:r>
        <w:rPr>
          <w:rStyle w:val="Hervorhebung"/>
          <w:rFonts w:asciiTheme="minorHAnsi" w:eastAsiaTheme="majorEastAsia" w:hAnsiTheme="minorHAnsi"/>
          <w:i w:val="0"/>
          <w:iCs w:val="0"/>
          <w:color w:val="000000"/>
          <w:sz w:val="20"/>
          <w:szCs w:val="20"/>
        </w:rPr>
        <w:t xml:space="preserve">Hochschullehre als Gemeinschaftsaufgabe: </w:t>
      </w:r>
      <w:proofErr w:type="spellStart"/>
      <w:proofErr w:type="gramStart"/>
      <w:r>
        <w:rPr>
          <w:rStyle w:val="Hervorhebung"/>
          <w:rFonts w:asciiTheme="minorHAnsi" w:eastAsiaTheme="majorEastAsia" w:hAnsiTheme="minorHAnsi"/>
          <w:i w:val="0"/>
          <w:iCs w:val="0"/>
          <w:color w:val="000000"/>
          <w:sz w:val="20"/>
          <w:szCs w:val="20"/>
        </w:rPr>
        <w:t>Akteur:innen</w:t>
      </w:r>
      <w:proofErr w:type="spellEnd"/>
      <w:proofErr w:type="gramEnd"/>
      <w:r>
        <w:rPr>
          <w:rStyle w:val="Hervorhebung"/>
          <w:rFonts w:asciiTheme="minorHAnsi" w:eastAsiaTheme="majorEastAsia" w:hAnsiTheme="minorHAnsi"/>
          <w:i w:val="0"/>
          <w:iCs w:val="0"/>
          <w:color w:val="000000"/>
          <w:sz w:val="20"/>
          <w:szCs w:val="20"/>
        </w:rPr>
        <w:t xml:space="preserve"> und Fachkulturen in der lernenden Organisation</w:t>
      </w:r>
      <w:r>
        <w:rPr>
          <w:rStyle w:val="apple-converted-space"/>
          <w:rFonts w:asciiTheme="minorHAnsi" w:eastAsiaTheme="majorEastAsia" w:hAnsi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/>
          <w:color w:val="000000"/>
          <w:sz w:val="20"/>
          <w:szCs w:val="20"/>
        </w:rPr>
        <w:t xml:space="preserve">(S. 169–178). </w:t>
      </w:r>
      <w:proofErr w:type="spellStart"/>
      <w:r>
        <w:rPr>
          <w:rFonts w:asciiTheme="minorHAnsi" w:hAnsiTheme="minorHAnsi"/>
          <w:color w:val="000000"/>
          <w:sz w:val="20"/>
          <w:szCs w:val="20"/>
        </w:rPr>
        <w:t>wbv</w:t>
      </w:r>
      <w:proofErr w:type="spellEnd"/>
      <w:r>
        <w:rPr>
          <w:rFonts w:asciiTheme="minorHAnsi" w:hAnsiTheme="minorHAnsi"/>
          <w:color w:val="000000"/>
          <w:sz w:val="20"/>
          <w:szCs w:val="20"/>
        </w:rPr>
        <w:t>.</w:t>
      </w:r>
    </w:p>
    <w:p w:rsidR="007F3CB2" w:rsidRPr="00AB381C" w:rsidRDefault="00000000" w:rsidP="00AB381C">
      <w:pPr>
        <w:pStyle w:val="StandardWeb"/>
        <w:spacing w:beforeAutospacing="0" w:after="80" w:afterAutospacing="0"/>
        <w:jc w:val="both"/>
      </w:pPr>
      <w:r>
        <w:rPr>
          <w:rFonts w:asciiTheme="minorHAnsi" w:hAnsiTheme="minorHAnsi"/>
          <w:color w:val="000000"/>
          <w:sz w:val="20"/>
          <w:szCs w:val="20"/>
        </w:rPr>
        <w:t>Prill, A. (2022). Zukunftsorientierte Lernraumgestaltung für innovative Hochschuldidaktik und eine neue Kultur des Lernens.</w:t>
      </w:r>
      <w:r>
        <w:rPr>
          <w:rStyle w:val="apple-converted-space"/>
          <w:rFonts w:asciiTheme="minorHAnsi" w:eastAsiaTheme="majorEastAsia" w:hAnsiTheme="minorHAnsi"/>
          <w:color w:val="000000"/>
          <w:sz w:val="20"/>
          <w:szCs w:val="20"/>
        </w:rPr>
        <w:t xml:space="preserve"> </w:t>
      </w:r>
      <w:proofErr w:type="spellStart"/>
      <w:r>
        <w:rPr>
          <w:rStyle w:val="Hervorhebung"/>
          <w:rFonts w:asciiTheme="minorHAnsi" w:eastAsiaTheme="majorEastAsia" w:hAnsiTheme="minorHAnsi"/>
          <w:i w:val="0"/>
          <w:iCs w:val="0"/>
          <w:color w:val="000000"/>
          <w:sz w:val="20"/>
          <w:szCs w:val="20"/>
        </w:rPr>
        <w:t>strategie</w:t>
      </w:r>
      <w:proofErr w:type="spellEnd"/>
      <w:r>
        <w:rPr>
          <w:rStyle w:val="Hervorhebung"/>
          <w:rFonts w:asciiTheme="minorHAnsi" w:eastAsiaTheme="majorEastAsia" w:hAnsiTheme="minorHAnsi"/>
          <w:i w:val="0"/>
          <w:iCs w:val="0"/>
          <w:color w:val="000000"/>
          <w:sz w:val="20"/>
          <w:szCs w:val="20"/>
        </w:rPr>
        <w:t xml:space="preserve"> digital. Magazin für Hochschulstrategien im digitalen Zeitalter</w:t>
      </w:r>
      <w:r>
        <w:rPr>
          <w:rFonts w:asciiTheme="minorHAnsi" w:hAnsiTheme="minorHAnsi"/>
          <w:i/>
          <w:iCs/>
          <w:color w:val="000000"/>
          <w:sz w:val="20"/>
          <w:szCs w:val="20"/>
        </w:rPr>
        <w:t>,</w:t>
      </w:r>
      <w:r>
        <w:rPr>
          <w:rStyle w:val="apple-converted-space"/>
          <w:rFonts w:asciiTheme="minorHAnsi" w:eastAsiaTheme="majorEastAsia" w:hAnsiTheme="minorHAnsi"/>
          <w:i/>
          <w:iCs/>
          <w:color w:val="000000"/>
          <w:sz w:val="20"/>
          <w:szCs w:val="20"/>
        </w:rPr>
        <w:t xml:space="preserve"> </w:t>
      </w:r>
      <w:r>
        <w:rPr>
          <w:rStyle w:val="Hervorhebung"/>
          <w:rFonts w:asciiTheme="minorHAnsi" w:eastAsiaTheme="majorEastAsia" w:hAnsiTheme="minorHAnsi"/>
          <w:i w:val="0"/>
          <w:iCs w:val="0"/>
          <w:color w:val="000000"/>
          <w:sz w:val="20"/>
          <w:szCs w:val="20"/>
        </w:rPr>
        <w:t>09</w:t>
      </w:r>
      <w:r>
        <w:rPr>
          <w:rFonts w:asciiTheme="minorHAnsi" w:hAnsiTheme="minorHAnsi"/>
          <w:color w:val="000000"/>
          <w:sz w:val="20"/>
          <w:szCs w:val="20"/>
        </w:rPr>
        <w:t>(04). Hochschulforum Digitalisierung.</w:t>
      </w:r>
    </w:p>
    <w:p w:rsidR="007F3CB2" w:rsidRDefault="00000000" w:rsidP="00AB381C">
      <w:pPr>
        <w:pStyle w:val="StandardWeb"/>
        <w:spacing w:beforeAutospacing="0" w:after="80" w:afterAutospacing="0"/>
        <w:jc w:val="both"/>
      </w:pPr>
      <w:r>
        <w:rPr>
          <w:rFonts w:asciiTheme="minorHAnsi" w:hAnsiTheme="minorHAnsi"/>
          <w:color w:val="000000"/>
          <w:sz w:val="20"/>
          <w:szCs w:val="20"/>
        </w:rPr>
        <w:t xml:space="preserve">Ryan, R. M., &amp; Deci, E. L. (2020). </w:t>
      </w:r>
      <w:r w:rsidRPr="00AB381C">
        <w:rPr>
          <w:rFonts w:asciiTheme="minorHAnsi" w:hAnsiTheme="minorHAnsi"/>
          <w:color w:val="000000"/>
          <w:sz w:val="20"/>
          <w:szCs w:val="20"/>
          <w:lang w:val="en-US"/>
        </w:rPr>
        <w:t>Intrinsic and extrinsic motivation from a self-determination theory perspective: Definitions, theory, practices, and future directions.</w:t>
      </w:r>
      <w:r w:rsidRPr="00AB381C">
        <w:rPr>
          <w:rStyle w:val="apple-converted-space"/>
          <w:rFonts w:asciiTheme="minorHAnsi" w:eastAsiaTheme="majorEastAsia" w:hAnsiTheme="minorHAnsi"/>
          <w:color w:val="000000"/>
          <w:sz w:val="20"/>
          <w:szCs w:val="20"/>
          <w:lang w:val="en-US"/>
        </w:rPr>
        <w:t xml:space="preserve"> </w:t>
      </w:r>
      <w:r>
        <w:rPr>
          <w:rStyle w:val="Hervorhebung"/>
          <w:rFonts w:asciiTheme="minorHAnsi" w:eastAsiaTheme="majorEastAsia" w:hAnsiTheme="minorHAnsi"/>
          <w:i w:val="0"/>
          <w:iCs w:val="0"/>
          <w:color w:val="000000"/>
          <w:sz w:val="20"/>
          <w:szCs w:val="20"/>
        </w:rPr>
        <w:t xml:space="preserve">Contemporary Educational </w:t>
      </w:r>
      <w:proofErr w:type="spellStart"/>
      <w:r>
        <w:rPr>
          <w:rStyle w:val="Hervorhebung"/>
          <w:rFonts w:asciiTheme="minorHAnsi" w:eastAsiaTheme="majorEastAsia" w:hAnsiTheme="minorHAnsi"/>
          <w:i w:val="0"/>
          <w:iCs w:val="0"/>
          <w:color w:val="000000"/>
          <w:sz w:val="20"/>
          <w:szCs w:val="20"/>
        </w:rPr>
        <w:t>Psychology</w:t>
      </w:r>
      <w:proofErr w:type="spellEnd"/>
      <w:r>
        <w:rPr>
          <w:rStyle w:val="Hervorhebung"/>
          <w:rFonts w:asciiTheme="minorHAnsi" w:eastAsiaTheme="majorEastAsia" w:hAnsiTheme="minorHAnsi"/>
          <w:i w:val="0"/>
          <w:iCs w:val="0"/>
          <w:color w:val="000000"/>
          <w:sz w:val="20"/>
          <w:szCs w:val="20"/>
        </w:rPr>
        <w:t>, 61</w:t>
      </w:r>
      <w:r>
        <w:rPr>
          <w:rFonts w:asciiTheme="minorHAnsi" w:hAnsiTheme="minorHAnsi"/>
          <w:i/>
          <w:iCs/>
          <w:color w:val="000000"/>
          <w:sz w:val="20"/>
          <w:szCs w:val="20"/>
        </w:rPr>
        <w:t xml:space="preserve">, </w:t>
      </w:r>
      <w:r>
        <w:rPr>
          <w:rFonts w:asciiTheme="minorHAnsi" w:hAnsiTheme="minorHAnsi"/>
          <w:color w:val="000000"/>
          <w:sz w:val="20"/>
          <w:szCs w:val="20"/>
        </w:rPr>
        <w:t>101860.</w:t>
      </w:r>
      <w:r>
        <w:rPr>
          <w:rStyle w:val="apple-converted-space"/>
          <w:rFonts w:asciiTheme="minorHAnsi" w:eastAsiaTheme="majorEastAsia" w:hAnsi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/>
          <w:color w:val="000000"/>
          <w:sz w:val="20"/>
          <w:szCs w:val="20"/>
        </w:rPr>
        <w:t>https://doi.org/10.1016/j.cedpsych.2020.101860</w:t>
      </w:r>
    </w:p>
    <w:sectPr w:rsidR="007F3CB2">
      <w:headerReference w:type="even" r:id="rId6"/>
      <w:headerReference w:type="default" r:id="rId7"/>
      <w:headerReference w:type="first" r:id="rId8"/>
      <w:pgSz w:w="11906" w:h="16838"/>
      <w:pgMar w:top="1440" w:right="1080" w:bottom="1440" w:left="1080" w:header="161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6626" w:rsidRDefault="00F36626">
      <w:r>
        <w:separator/>
      </w:r>
    </w:p>
  </w:endnote>
  <w:endnote w:type="continuationSeparator" w:id="0">
    <w:p w:rsidR="00F36626" w:rsidRDefault="00F36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rlito">
    <w:altName w:val="Calibri"/>
    <w:panose1 w:val="020B0604020202020204"/>
    <w:charset w:val="01"/>
    <w:family w:val="swiss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6626" w:rsidRDefault="00F36626">
      <w:r>
        <w:separator/>
      </w:r>
    </w:p>
  </w:footnote>
  <w:footnote w:type="continuationSeparator" w:id="0">
    <w:p w:rsidR="00F36626" w:rsidRDefault="00F36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3CB2" w:rsidRDefault="007F3CB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3CB2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:rsidR="007F3CB2" w:rsidRDefault="00000000">
    <w:pPr>
      <w:pStyle w:val="Kopfzeile"/>
      <w:tabs>
        <w:tab w:val="clear" w:pos="9072"/>
        <w:tab w:val="right" w:pos="9066"/>
      </w:tabs>
      <w:rPr>
        <w:sz w:val="20"/>
        <w:szCs w:val="20"/>
      </w:rPr>
    </w:pPr>
    <w:r>
      <w:rPr>
        <w:sz w:val="20"/>
        <w:szCs w:val="20"/>
      </w:rPr>
      <w:t xml:space="preserve">Jahrestagung Kommission Pädagogik und Humanistische Psychologie           </w:t>
    </w:r>
    <w:r>
      <w:rPr>
        <w:noProof/>
      </w:rPr>
      <w:drawing>
        <wp:inline distT="0" distB="0" distL="0" distR="0">
          <wp:extent cx="1287145" cy="343535"/>
          <wp:effectExtent l="0" t="0" r="0" b="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</w:t>
    </w:r>
    <w:r>
      <w:rPr>
        <w:noProof/>
      </w:rPr>
      <w:drawing>
        <wp:inline distT="0" distB="0" distL="0" distR="0">
          <wp:extent cx="812165" cy="34226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F3CB2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>21./22.11.2025, Pädagogische Hochschule Heidelberg</w:t>
    </w:r>
  </w:p>
  <w:p w:rsidR="007F3CB2" w:rsidRDefault="007F3CB2">
    <w:pPr>
      <w:pStyle w:val="Kopfzeile"/>
      <w:rPr>
        <w:sz w:val="20"/>
        <w:szCs w:val="20"/>
      </w:rPr>
    </w:pPr>
  </w:p>
  <w:p w:rsidR="007F3CB2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:rsidR="007F3CB2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3CB2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:rsidR="007F3CB2" w:rsidRDefault="00000000">
    <w:pPr>
      <w:pStyle w:val="Kopfzeile"/>
      <w:tabs>
        <w:tab w:val="clear" w:pos="9072"/>
        <w:tab w:val="right" w:pos="9066"/>
      </w:tabs>
      <w:rPr>
        <w:sz w:val="20"/>
        <w:szCs w:val="20"/>
      </w:rPr>
    </w:pPr>
    <w:r>
      <w:rPr>
        <w:sz w:val="20"/>
        <w:szCs w:val="20"/>
      </w:rPr>
      <w:t xml:space="preserve">Jahrestagung Kommission Pädagogik und Humanistische Psychologie           </w:t>
    </w:r>
    <w:r>
      <w:rPr>
        <w:noProof/>
      </w:rPr>
      <w:drawing>
        <wp:inline distT="0" distB="0" distL="0" distR="0">
          <wp:extent cx="1287145" cy="343535"/>
          <wp:effectExtent l="0" t="0" r="0" b="0"/>
          <wp:docPr id="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</w:t>
    </w:r>
    <w:r>
      <w:rPr>
        <w:noProof/>
      </w:rPr>
      <w:drawing>
        <wp:inline distT="0" distB="0" distL="0" distR="0">
          <wp:extent cx="812165" cy="342265"/>
          <wp:effectExtent l="0" t="0" r="0" b="0"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F3CB2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>21./22.11.2025, Pädagogische Hochschule Heidelberg</w:t>
    </w:r>
  </w:p>
  <w:p w:rsidR="007F3CB2" w:rsidRDefault="007F3CB2">
    <w:pPr>
      <w:pStyle w:val="Kopfzeile"/>
      <w:rPr>
        <w:sz w:val="20"/>
        <w:szCs w:val="20"/>
      </w:rPr>
    </w:pPr>
  </w:p>
  <w:p w:rsidR="007F3CB2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:rsidR="007F3CB2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4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CB2"/>
    <w:rsid w:val="003A1159"/>
    <w:rsid w:val="00447797"/>
    <w:rsid w:val="006908E6"/>
    <w:rsid w:val="007F3CB2"/>
    <w:rsid w:val="00AB381C"/>
    <w:rsid w:val="00F13E95"/>
    <w:rsid w:val="00F3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9592C765-ECDA-9A46-9081-4E34084E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90BC8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716F23"/>
  </w:style>
  <w:style w:type="character" w:customStyle="1" w:styleId="FuzeileZchn">
    <w:name w:val="Fußzeile Zchn"/>
    <w:basedOn w:val="Absatz-Standardschriftart"/>
    <w:link w:val="Fuzeile"/>
    <w:uiPriority w:val="99"/>
    <w:qFormat/>
    <w:rsid w:val="00716F23"/>
  </w:style>
  <w:style w:type="character" w:customStyle="1" w:styleId="apple-converted-space">
    <w:name w:val="apple-converted-space"/>
    <w:basedOn w:val="Absatz-Standardschriftart"/>
    <w:qFormat/>
    <w:rsid w:val="00F5399D"/>
  </w:style>
  <w:style w:type="character" w:styleId="Hervorhebung">
    <w:name w:val="Emphasis"/>
    <w:basedOn w:val="Absatz-Standardschriftart"/>
    <w:uiPriority w:val="20"/>
    <w:qFormat/>
    <w:rsid w:val="00F5399D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F5399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rsid w:val="00F5399D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190BC8"/>
    <w:rPr>
      <w:rFonts w:eastAsiaTheme="majorEastAsia" w:cstheme="majorBidi"/>
      <w:b/>
      <w:sz w:val="32"/>
      <w:szCs w:val="32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Noto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"/>
    </w:rPr>
  </w:style>
  <w:style w:type="paragraph" w:customStyle="1" w:styleId="Kopf-Fuzeile">
    <w:name w:val="Kopf-/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716F2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716F23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uiPriority w:val="99"/>
    <w:unhideWhenUsed/>
    <w:qFormat/>
    <w:rsid w:val="00F5399D"/>
    <w:pPr>
      <w:spacing w:beforeAutospacing="1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299</Words>
  <Characters>1884</Characters>
  <Application>Microsoft Office Word</Application>
  <DocSecurity>0</DocSecurity>
  <Lines>15</Lines>
  <Paragraphs>4</Paragraphs>
  <ScaleCrop>false</ScaleCrop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Dr. Graf</dc:creator>
  <dc:description/>
  <cp:lastModifiedBy>Ulrike Dr. Graf</cp:lastModifiedBy>
  <cp:revision>6</cp:revision>
  <dcterms:created xsi:type="dcterms:W3CDTF">2025-06-04T16:37:00Z</dcterms:created>
  <dcterms:modified xsi:type="dcterms:W3CDTF">2025-06-26T11:03:00Z</dcterms:modified>
  <dc:language>de-DE</dc:language>
</cp:coreProperties>
</file>