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6173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46173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46173" w:rsidRDefault="00000000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46173" w:rsidRDefault="00000000">
      <w:pPr>
        <w:pStyle w:val="berschrift1"/>
      </w:pPr>
      <w:r>
        <w:t>Zur Bedeutung der Körperpräsenz Dritter im Rahmen analoger und virtueller Hochschulseminare</w:t>
      </w:r>
    </w:p>
    <w:p w:rsidR="00B01120" w:rsidRDefault="00B01120" w:rsidP="00B01120"/>
    <w:p w:rsidR="00B01120" w:rsidRPr="00B01120" w:rsidRDefault="00B01120" w:rsidP="00B01120"/>
    <w:p w:rsidR="00F46173" w:rsidRDefault="00000000">
      <w:r>
        <w:t>Jonathan Knapp, PH Heidelberg</w:t>
      </w:r>
    </w:p>
    <w:p w:rsidR="00F46173" w:rsidRDefault="00F46173">
      <w:pPr>
        <w:rPr>
          <w:b/>
          <w:bCs/>
        </w:rPr>
      </w:pPr>
    </w:p>
    <w:p w:rsidR="00F46173" w:rsidRDefault="00F46173">
      <w:pPr>
        <w:rPr>
          <w:b/>
          <w:bCs/>
        </w:rPr>
      </w:pPr>
    </w:p>
    <w:p w:rsidR="00F46173" w:rsidRDefault="00000000">
      <w:pPr>
        <w:rPr>
          <w:b/>
          <w:bCs/>
        </w:rPr>
      </w:pPr>
      <w:r>
        <w:rPr>
          <w:b/>
          <w:bCs/>
        </w:rPr>
        <w:t>Beitragsart: Poster</w:t>
      </w:r>
    </w:p>
    <w:p w:rsidR="00F46173" w:rsidRDefault="00F46173"/>
    <w:p w:rsidR="00F46173" w:rsidRDefault="00F46173"/>
    <w:p w:rsidR="00F46173" w:rsidRDefault="00000000">
      <w:pPr>
        <w:jc w:val="both"/>
      </w:pPr>
      <w:r>
        <w:t>In einer Bildungslandschaft, die primär auf verbaler Kommunikation beruht (Bette, 2005), gewinnen pädagogische Potenziale des Körpers an Aufmerksamkeit (</w:t>
      </w:r>
      <w:proofErr w:type="spellStart"/>
      <w:r>
        <w:t>Hegna</w:t>
      </w:r>
      <w:proofErr w:type="spellEnd"/>
      <w:r>
        <w:t xml:space="preserve"> &amp; </w:t>
      </w:r>
      <w:proofErr w:type="spellStart"/>
      <w:r>
        <w:t>Ørbæk</w:t>
      </w:r>
      <w:proofErr w:type="spellEnd"/>
      <w:r>
        <w:t>, 2021; Knapp &amp; Giese, 2024). Seit der Corona-Pandemie haben digitale Begegnungsformen auch im Hochschulbereich einen Durchbruch erfahren, was zu der Frage nach der Bedeutung von Körperpräsenz in unterschiedlichen Lehr-Lernformaten führt (</w:t>
      </w:r>
      <w:proofErr w:type="spellStart"/>
      <w:r>
        <w:t>Willatt</w:t>
      </w:r>
      <w:proofErr w:type="spellEnd"/>
      <w:r>
        <w:t xml:space="preserve"> &amp; Flores, 2021). Präsenz definiert sich nicht ausschließlich durch physische Anwesenheit, sondern materialisiert sich selbst dann, wenn andere „nur imaginär oder virtuell anwesend sind“ (Brinkmann, 2018, S. 196). An dieser prä-reflexiven Erfahrung scheinen „Dritte“ maßgeblich beteiligt (</w:t>
      </w:r>
      <w:proofErr w:type="spellStart"/>
      <w:r>
        <w:t>Bedorf</w:t>
      </w:r>
      <w:proofErr w:type="spellEnd"/>
      <w:r>
        <w:t xml:space="preserve"> et al., 2010), wobei empirische Erkenntnisse ausstehen. Mittels qualitativer Methoden wurde erforscht, </w:t>
      </w:r>
      <w:r>
        <w:rPr>
          <w:rFonts w:cs="Calibri"/>
        </w:rPr>
        <w:t xml:space="preserve">wie Seminarbeteiligte die Bedeutung Dritter rekonstruieren und inwiefern Hochschullehre dieses komplexe Beziehungsgeflecht </w:t>
      </w:r>
      <w:proofErr w:type="spellStart"/>
      <w:r>
        <w:rPr>
          <w:rFonts w:cs="Calibri"/>
        </w:rPr>
        <w:t>diversitäts</w:t>
      </w:r>
      <w:proofErr w:type="spellEnd"/>
      <w:r>
        <w:rPr>
          <w:rFonts w:cs="Calibri"/>
        </w:rPr>
        <w:t xml:space="preserve">- und </w:t>
      </w:r>
      <w:proofErr w:type="spellStart"/>
      <w:r>
        <w:rPr>
          <w:rFonts w:cs="Calibri"/>
        </w:rPr>
        <w:t>körpersensibel</w:t>
      </w:r>
      <w:proofErr w:type="spellEnd"/>
      <w:r>
        <w:rPr>
          <w:rFonts w:cs="Calibri"/>
        </w:rPr>
        <w:t xml:space="preserve"> beachten kann.</w:t>
      </w:r>
    </w:p>
    <w:p w:rsidR="00F46173" w:rsidRDefault="00F46173">
      <w:pPr>
        <w:rPr>
          <w:rFonts w:cstheme="minorHAnsi"/>
          <w:b/>
          <w:bCs/>
        </w:rPr>
      </w:pPr>
    </w:p>
    <w:p w:rsidR="00F46173" w:rsidRDefault="00F46173">
      <w:pPr>
        <w:rPr>
          <w:rFonts w:cstheme="minorHAnsi"/>
          <w:b/>
          <w:bCs/>
        </w:rPr>
      </w:pPr>
    </w:p>
    <w:p w:rsidR="00F46173" w:rsidRDefault="00000000">
      <w:pPr>
        <w:jc w:val="both"/>
      </w:pPr>
      <w:r>
        <w:rPr>
          <w:rFonts w:cstheme="minorHAnsi"/>
        </w:rPr>
        <w:t>Literatur</w:t>
      </w:r>
    </w:p>
    <w:p w:rsidR="00F46173" w:rsidRDefault="00F46173">
      <w:pPr>
        <w:jc w:val="both"/>
        <w:rPr>
          <w:rFonts w:cstheme="minorHAnsi"/>
        </w:rPr>
      </w:pPr>
    </w:p>
    <w:p w:rsidR="00F46173" w:rsidRDefault="00000000" w:rsidP="001A6016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 w:cstheme="minorHAnsi"/>
          <w:sz w:val="20"/>
          <w:szCs w:val="20"/>
        </w:rPr>
        <w:t xml:space="preserve">Bette, K.-H. (2005). </w:t>
      </w:r>
      <w:proofErr w:type="spellStart"/>
      <w:r>
        <w:rPr>
          <w:rFonts w:asciiTheme="minorHAnsi" w:hAnsiTheme="minorHAnsi" w:cstheme="minorHAnsi"/>
          <w:sz w:val="20"/>
          <w:szCs w:val="20"/>
        </w:rPr>
        <w:t>Körperspuren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: Zur Semantik und Paradoxie moderner </w:t>
      </w:r>
      <w:proofErr w:type="spellStart"/>
      <w:r>
        <w:rPr>
          <w:rFonts w:asciiTheme="minorHAnsi" w:hAnsiTheme="minorHAnsi" w:cstheme="minorHAnsi"/>
          <w:sz w:val="20"/>
          <w:szCs w:val="20"/>
        </w:rPr>
        <w:t>Körperlichkeit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transcript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:rsidR="00F46173" w:rsidRPr="001A6016" w:rsidRDefault="00000000" w:rsidP="001A6016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 w:cstheme="minorHAnsi"/>
          <w:sz w:val="20"/>
          <w:szCs w:val="20"/>
        </w:rPr>
        <w:t xml:space="preserve">Brinkmann, M. (2018). </w:t>
      </w:r>
      <w:proofErr w:type="spellStart"/>
      <w:r>
        <w:rPr>
          <w:rFonts w:asciiTheme="minorHAnsi" w:hAnsiTheme="minorHAnsi" w:cstheme="minorHAnsi"/>
          <w:sz w:val="20"/>
          <w:szCs w:val="20"/>
        </w:rPr>
        <w:t>Verkörperungen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zwischen Normalisierung und Subjektivierung. Zur Anthropologie und Sozialtheorie </w:t>
      </w:r>
      <w:proofErr w:type="spellStart"/>
      <w:r>
        <w:rPr>
          <w:rFonts w:asciiTheme="minorHAnsi" w:hAnsiTheme="minorHAnsi" w:cstheme="minorHAnsi"/>
          <w:sz w:val="20"/>
          <w:szCs w:val="20"/>
        </w:rPr>
        <w:t>pädagogischer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Praxis der </w:t>
      </w:r>
      <w:proofErr w:type="spellStart"/>
      <w:r>
        <w:rPr>
          <w:rFonts w:asciiTheme="minorHAnsi" w:hAnsiTheme="minorHAnsi" w:cstheme="minorHAnsi"/>
          <w:sz w:val="20"/>
          <w:szCs w:val="20"/>
        </w:rPr>
        <w:t>Körperbildung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und -erziehung. Vierteljahresschrift </w:t>
      </w:r>
      <w:proofErr w:type="spellStart"/>
      <w:r>
        <w:rPr>
          <w:rFonts w:asciiTheme="minorHAnsi" w:hAnsiTheme="minorHAnsi" w:cstheme="minorHAnsi"/>
          <w:sz w:val="20"/>
          <w:szCs w:val="20"/>
        </w:rPr>
        <w:t>für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Heilpädagogik</w:t>
      </w:r>
      <w:proofErr w:type="spellEnd"/>
      <w:r>
        <w:rPr>
          <w:rFonts w:asciiTheme="minorHAnsi" w:hAnsiTheme="minorHAnsi" w:cstheme="minorHAnsi"/>
          <w:i/>
          <w:iCs/>
          <w:sz w:val="20"/>
          <w:szCs w:val="20"/>
        </w:rPr>
        <w:t xml:space="preserve"> und ihre Nachbargebiete</w:t>
      </w:r>
      <w:r>
        <w:rPr>
          <w:rFonts w:asciiTheme="minorHAnsi" w:hAnsiTheme="minorHAnsi" w:cstheme="minorHAnsi"/>
          <w:sz w:val="20"/>
          <w:szCs w:val="20"/>
        </w:rPr>
        <w:t xml:space="preserve">, 87(3), 191-204. https://doi. </w:t>
      </w:r>
      <w:proofErr w:type="spellStart"/>
      <w:r>
        <w:rPr>
          <w:rFonts w:asciiTheme="minorHAnsi" w:hAnsiTheme="minorHAnsi" w:cstheme="minorHAnsi"/>
          <w:sz w:val="20"/>
          <w:szCs w:val="20"/>
        </w:rPr>
        <w:t>org</w:t>
      </w:r>
      <w:proofErr w:type="spellEnd"/>
      <w:r>
        <w:rPr>
          <w:rFonts w:asciiTheme="minorHAnsi" w:hAnsiTheme="minorHAnsi" w:cstheme="minorHAnsi"/>
          <w:sz w:val="20"/>
          <w:szCs w:val="20"/>
        </w:rPr>
        <w:t>/10.2378/vhn2018.art21d</w:t>
      </w:r>
    </w:p>
    <w:p w:rsidR="00F46173" w:rsidRPr="00B01120" w:rsidRDefault="00000000" w:rsidP="001A6016">
      <w:pPr>
        <w:pStyle w:val="StandardWeb"/>
        <w:spacing w:beforeAutospacing="0" w:after="80" w:afterAutospacing="0"/>
        <w:jc w:val="both"/>
        <w:rPr>
          <w:lang w:val="en-US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Bedorf</w:t>
      </w:r>
      <w:proofErr w:type="spellEnd"/>
      <w:r>
        <w:rPr>
          <w:rFonts w:asciiTheme="minorHAnsi" w:hAnsiTheme="minorHAnsi" w:cstheme="minorHAnsi"/>
          <w:sz w:val="20"/>
          <w:szCs w:val="20"/>
        </w:rPr>
        <w:t>, T., Fischer, J., &amp; Lindemann, G. (Hrsg.). (2010). Theorien des Dritten. Innovationen in Soziologie und Sozialphilosophie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01120">
        <w:rPr>
          <w:rFonts w:asciiTheme="minorHAnsi" w:hAnsiTheme="minorHAnsi" w:cstheme="minorHAnsi"/>
          <w:sz w:val="20"/>
          <w:szCs w:val="20"/>
          <w:lang w:val="en-US"/>
        </w:rPr>
        <w:t>Fink.</w:t>
      </w:r>
    </w:p>
    <w:p w:rsidR="00F46173" w:rsidRPr="001A6016" w:rsidRDefault="00000000" w:rsidP="001A6016">
      <w:pPr>
        <w:pStyle w:val="StandardWeb"/>
        <w:spacing w:beforeAutospacing="0" w:after="80" w:afterAutospacing="0"/>
        <w:jc w:val="both"/>
        <w:rPr>
          <w:lang w:val="en-US"/>
        </w:rPr>
      </w:pPr>
      <w:proofErr w:type="spellStart"/>
      <w:r w:rsidRPr="00B01120">
        <w:rPr>
          <w:rFonts w:asciiTheme="minorHAnsi" w:hAnsiTheme="minorHAnsi" w:cstheme="minorHAnsi"/>
          <w:sz w:val="20"/>
          <w:szCs w:val="20"/>
          <w:lang w:val="en-US"/>
        </w:rPr>
        <w:t>Hegna</w:t>
      </w:r>
      <w:proofErr w:type="spellEnd"/>
      <w:r w:rsidRPr="00B01120">
        <w:rPr>
          <w:rFonts w:asciiTheme="minorHAnsi" w:hAnsiTheme="minorHAnsi" w:cstheme="minorHAnsi"/>
          <w:sz w:val="20"/>
          <w:szCs w:val="20"/>
          <w:lang w:val="en-US"/>
        </w:rPr>
        <w:t xml:space="preserve">, H. M., &amp; </w:t>
      </w:r>
      <w:proofErr w:type="spellStart"/>
      <w:r w:rsidRPr="00B01120">
        <w:rPr>
          <w:rFonts w:asciiTheme="minorHAnsi" w:hAnsiTheme="minorHAnsi" w:cstheme="minorHAnsi"/>
          <w:sz w:val="20"/>
          <w:szCs w:val="20"/>
          <w:lang w:val="en-US"/>
        </w:rPr>
        <w:t>Ørbæk</w:t>
      </w:r>
      <w:proofErr w:type="spellEnd"/>
      <w:r w:rsidRPr="00B01120">
        <w:rPr>
          <w:rFonts w:asciiTheme="minorHAnsi" w:hAnsiTheme="minorHAnsi" w:cstheme="minorHAnsi"/>
          <w:sz w:val="20"/>
          <w:szCs w:val="20"/>
          <w:lang w:val="en-US"/>
        </w:rPr>
        <w:t xml:space="preserve">, T. (2021). 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Traces of Embodied Teaching and Learning: A Review of Empirical Studies in Higher Education. </w:t>
      </w:r>
      <w:r w:rsidRPr="001A6016">
        <w:rPr>
          <w:rFonts w:asciiTheme="minorHAnsi" w:hAnsiTheme="minorHAnsi" w:cstheme="minorHAnsi"/>
          <w:sz w:val="20"/>
          <w:szCs w:val="20"/>
          <w:lang w:val="en-US"/>
        </w:rPr>
        <w:t>Teaching in Higher Education, 29(2), 420-441.</w:t>
      </w:r>
    </w:p>
    <w:p w:rsidR="00F46173" w:rsidRPr="001A6016" w:rsidRDefault="00000000" w:rsidP="001A6016">
      <w:pPr>
        <w:pStyle w:val="StandardWeb"/>
        <w:spacing w:beforeAutospacing="0" w:after="80" w:afterAutospacing="0"/>
        <w:jc w:val="both"/>
        <w:rPr>
          <w:lang w:val="en-US"/>
        </w:rPr>
      </w:pPr>
      <w:r w:rsidRPr="001A6016">
        <w:rPr>
          <w:rFonts w:asciiTheme="minorHAnsi" w:hAnsiTheme="minorHAnsi" w:cstheme="minorHAnsi"/>
          <w:sz w:val="20"/>
          <w:szCs w:val="20"/>
          <w:lang w:val="en-US"/>
        </w:rPr>
        <w:t xml:space="preserve">Knapp, J., &amp; Giese, M. (2024). Investigating Embodied Presence across Various Formats in Higher Education: A Phenomenological Heuristic Approach from a </w:t>
      </w:r>
      <w:proofErr w:type="spellStart"/>
      <w:r w:rsidRPr="001A6016">
        <w:rPr>
          <w:rFonts w:asciiTheme="minorHAnsi" w:hAnsiTheme="minorHAnsi" w:cstheme="minorHAnsi"/>
          <w:sz w:val="20"/>
          <w:szCs w:val="20"/>
          <w:lang w:val="en-US"/>
        </w:rPr>
        <w:t>Bildung</w:t>
      </w:r>
      <w:proofErr w:type="spellEnd"/>
      <w:r w:rsidRPr="001A6016">
        <w:rPr>
          <w:rFonts w:asciiTheme="minorHAnsi" w:hAnsiTheme="minorHAnsi" w:cstheme="minorHAnsi"/>
          <w:sz w:val="20"/>
          <w:szCs w:val="20"/>
          <w:lang w:val="en-US"/>
        </w:rPr>
        <w:t xml:space="preserve">-theoretical Perspective. Trends in Higher Education, 3(2), 457-471. </w:t>
      </w:r>
      <w:hyperlink r:id="rId6">
        <w:r w:rsidRPr="001A6016">
          <w:rPr>
            <w:rFonts w:asciiTheme="minorHAnsi" w:hAnsiTheme="minorHAnsi" w:cstheme="minorHAnsi"/>
            <w:sz w:val="20"/>
            <w:szCs w:val="20"/>
            <w:lang w:val="en-US"/>
          </w:rPr>
          <w:t>https://doi.org/10.3390/higheredu3020027</w:t>
        </w:r>
      </w:hyperlink>
    </w:p>
    <w:p w:rsidR="00F46173" w:rsidRDefault="00000000" w:rsidP="001A6016">
      <w:pPr>
        <w:pStyle w:val="StandardWeb"/>
        <w:spacing w:beforeAutospacing="0" w:after="80" w:afterAutospacing="0"/>
        <w:jc w:val="both"/>
      </w:pP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Willatt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, C., &amp; Flores, L. M. (2021). The Presence of the Body in Digital Education: A Phenomenological Approach to Embodied Experience. </w:t>
      </w:r>
      <w:r>
        <w:rPr>
          <w:rFonts w:asciiTheme="minorHAnsi" w:hAnsiTheme="minorHAnsi" w:cstheme="minorHAnsi"/>
          <w:i/>
          <w:iCs/>
          <w:sz w:val="20"/>
          <w:szCs w:val="20"/>
          <w:lang w:val="en-US"/>
        </w:rPr>
        <w:t>Studies in Philosophy and Education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r>
        <w:rPr>
          <w:rFonts w:asciiTheme="minorHAnsi" w:hAnsiTheme="minorHAnsi" w:cstheme="minorHAnsi"/>
          <w:i/>
          <w:iCs/>
          <w:sz w:val="20"/>
          <w:szCs w:val="20"/>
          <w:lang w:val="en-US"/>
        </w:rPr>
        <w:t>41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, 21-37. </w:t>
      </w:r>
      <w:r>
        <w:rPr>
          <w:rFonts w:asciiTheme="minorHAnsi" w:hAnsiTheme="minorHAnsi" w:cstheme="minorHAnsi"/>
          <w:sz w:val="20"/>
          <w:szCs w:val="20"/>
        </w:rPr>
        <w:t>https://doi.org/10.1007/s11217-021-09813-5</w:t>
      </w:r>
    </w:p>
    <w:sectPr w:rsidR="00F46173">
      <w:headerReference w:type="even" r:id="rId7"/>
      <w:headerReference w:type="default" r:id="rId8"/>
      <w:headerReference w:type="first" r:id="rId9"/>
      <w:pgSz w:w="11906" w:h="16838"/>
      <w:pgMar w:top="1440" w:right="1080" w:bottom="1440" w:left="1080" w:header="161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4F49" w:rsidRDefault="00044F49">
      <w:r>
        <w:separator/>
      </w:r>
    </w:p>
  </w:endnote>
  <w:endnote w:type="continuationSeparator" w:id="0">
    <w:p w:rsidR="00044F49" w:rsidRDefault="00044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4F49" w:rsidRDefault="00044F49">
      <w:r>
        <w:separator/>
      </w:r>
    </w:p>
  </w:footnote>
  <w:footnote w:type="continuationSeparator" w:id="0">
    <w:p w:rsidR="00044F49" w:rsidRDefault="00044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6173" w:rsidRDefault="00F461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6173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F46173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6173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F46173" w:rsidRDefault="00F46173">
    <w:pPr>
      <w:pStyle w:val="Kopfzeile"/>
      <w:rPr>
        <w:sz w:val="20"/>
        <w:szCs w:val="20"/>
      </w:rPr>
    </w:pPr>
  </w:p>
  <w:p w:rsidR="00F46173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F46173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6173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F46173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6173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F46173" w:rsidRDefault="00F46173">
    <w:pPr>
      <w:pStyle w:val="Kopfzeile"/>
      <w:rPr>
        <w:sz w:val="20"/>
        <w:szCs w:val="20"/>
      </w:rPr>
    </w:pPr>
  </w:p>
  <w:p w:rsidR="00F46173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F46173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173"/>
    <w:rsid w:val="00044F49"/>
    <w:rsid w:val="001A6016"/>
    <w:rsid w:val="004E51AD"/>
    <w:rsid w:val="00B01120"/>
    <w:rsid w:val="00F4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E60377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55D1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16F23"/>
  </w:style>
  <w:style w:type="character" w:customStyle="1" w:styleId="FuzeileZchn">
    <w:name w:val="Fußzeile Zchn"/>
    <w:basedOn w:val="Absatz-Standardschriftart"/>
    <w:link w:val="Fuzeile"/>
    <w:uiPriority w:val="99"/>
    <w:qFormat/>
    <w:rsid w:val="00716F23"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2855D1"/>
    <w:rPr>
      <w:rFonts w:eastAsiaTheme="majorEastAsia" w:cstheme="majorBidi"/>
      <w:b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2855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2855D1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unhideWhenUsed/>
    <w:qFormat/>
    <w:rsid w:val="007A5EE5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3390/higheredu3020027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2088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6</cp:revision>
  <dcterms:created xsi:type="dcterms:W3CDTF">2025-06-04T16:41:00Z</dcterms:created>
  <dcterms:modified xsi:type="dcterms:W3CDTF">2025-06-26T11:02:00Z</dcterms:modified>
  <dc:language>de-DE</dc:language>
</cp:coreProperties>
</file>