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26330" w:rsidRDefault="00000000">
      <w:pPr>
        <w:tabs>
          <w:tab w:val="left" w:pos="3725"/>
        </w:tabs>
        <w:spacing w:after="0" w:line="240" w:lineRule="auto"/>
        <w:rPr>
          <w:b/>
          <w:bCs/>
        </w:rPr>
      </w:pPr>
      <w:r>
        <w:rPr>
          <w:b/>
          <w:bCs/>
        </w:rPr>
        <w:tab/>
      </w:r>
      <w:r>
        <w:rPr>
          <w:b/>
          <w:bCs/>
        </w:rPr>
        <w:tab/>
      </w:r>
      <w:r>
        <w:rPr>
          <w:b/>
          <w:bCs/>
        </w:rPr>
        <w:tab/>
      </w:r>
    </w:p>
    <w:p w:rsidR="00126330" w:rsidRDefault="00000000">
      <w:pPr>
        <w:tabs>
          <w:tab w:val="left" w:pos="3725"/>
        </w:tabs>
        <w:spacing w:after="0" w:line="240" w:lineRule="auto"/>
        <w:rPr>
          <w:b/>
          <w:bCs/>
        </w:rPr>
      </w:pPr>
      <w:r>
        <w:rPr>
          <w:b/>
          <w:bCs/>
        </w:rPr>
        <w:tab/>
      </w:r>
      <w:r>
        <w:rPr>
          <w:b/>
          <w:bCs/>
        </w:rPr>
        <w:tab/>
      </w:r>
      <w:r>
        <w:rPr>
          <w:b/>
          <w:bCs/>
        </w:rPr>
        <w:tab/>
      </w:r>
    </w:p>
    <w:p w:rsidR="00126330" w:rsidRDefault="00000000">
      <w:pPr>
        <w:tabs>
          <w:tab w:val="left" w:pos="3725"/>
        </w:tabs>
        <w:spacing w:after="0" w:line="240" w:lineRule="auto"/>
        <w:rPr>
          <w:b/>
          <w:bCs/>
          <w:sz w:val="28"/>
          <w:szCs w:val="28"/>
        </w:rPr>
      </w:pPr>
      <w:r>
        <w:rPr>
          <w:b/>
          <w:bCs/>
        </w:rPr>
        <w:tab/>
      </w:r>
      <w:r>
        <w:rPr>
          <w:b/>
          <w:bCs/>
        </w:rPr>
        <w:tab/>
      </w:r>
      <w:r>
        <w:rPr>
          <w:b/>
          <w:bCs/>
        </w:rPr>
        <w:tab/>
      </w:r>
    </w:p>
    <w:p w:rsidR="00F93843" w:rsidRDefault="00000000" w:rsidP="00F93843">
      <w:pPr>
        <w:pStyle w:val="berschrift1"/>
        <w:spacing w:before="0"/>
      </w:pPr>
      <w:r w:rsidRPr="00F93843">
        <w:t>Leiblichkeit und zufällige Begegnungen im Studium</w:t>
      </w:r>
    </w:p>
    <w:p w:rsidR="00F93843" w:rsidRDefault="00F93843" w:rsidP="00F93843">
      <w:pPr>
        <w:spacing w:after="0" w:line="240" w:lineRule="auto"/>
        <w:jc w:val="both"/>
        <w:rPr>
          <w:b/>
        </w:rPr>
      </w:pPr>
    </w:p>
    <w:p w:rsidR="00F93843" w:rsidRDefault="00F93843">
      <w:pPr>
        <w:spacing w:after="0" w:line="240" w:lineRule="auto"/>
      </w:pPr>
    </w:p>
    <w:p w:rsidR="00126330" w:rsidRDefault="00000000">
      <w:pPr>
        <w:spacing w:after="0" w:line="240" w:lineRule="auto"/>
      </w:pPr>
      <w:r>
        <w:t xml:space="preserve">Prof. Dr. habil. Thorsten </w:t>
      </w:r>
      <w:proofErr w:type="spellStart"/>
      <w:r>
        <w:t>Sühlsen</w:t>
      </w:r>
      <w:proofErr w:type="spellEnd"/>
      <w:r>
        <w:t>, IU/Internationale Hochschule Erfurt</w:t>
      </w:r>
    </w:p>
    <w:p w:rsidR="00126330" w:rsidRDefault="00126330">
      <w:pPr>
        <w:spacing w:after="0" w:line="240" w:lineRule="auto"/>
      </w:pPr>
    </w:p>
    <w:p w:rsidR="00126330" w:rsidRDefault="00126330">
      <w:pPr>
        <w:spacing w:after="0" w:line="240" w:lineRule="auto"/>
        <w:jc w:val="both"/>
        <w:rPr>
          <w:b/>
        </w:rPr>
      </w:pPr>
    </w:p>
    <w:p w:rsidR="00126330" w:rsidRDefault="00000000">
      <w:pPr>
        <w:spacing w:after="0" w:line="240" w:lineRule="auto"/>
        <w:jc w:val="both"/>
        <w:rPr>
          <w:b/>
        </w:rPr>
      </w:pPr>
      <w:r>
        <w:rPr>
          <w:b/>
        </w:rPr>
        <w:t>Beitragsart: Vortrag</w:t>
      </w:r>
    </w:p>
    <w:p w:rsidR="00126330" w:rsidRDefault="00126330">
      <w:pPr>
        <w:spacing w:after="0" w:line="240" w:lineRule="auto"/>
        <w:jc w:val="both"/>
        <w:rPr>
          <w:b/>
        </w:rPr>
      </w:pPr>
    </w:p>
    <w:p w:rsidR="00126330" w:rsidRDefault="00126330">
      <w:pPr>
        <w:spacing w:after="0" w:line="240" w:lineRule="auto"/>
        <w:jc w:val="both"/>
        <w:rPr>
          <w:b/>
        </w:rPr>
      </w:pPr>
    </w:p>
    <w:p w:rsidR="00126330" w:rsidRDefault="00000000">
      <w:pPr>
        <w:spacing w:after="0" w:line="240" w:lineRule="auto"/>
        <w:jc w:val="both"/>
      </w:pPr>
      <w:r>
        <w:rPr>
          <w:rFonts w:asciiTheme="minorHAnsi" w:hAnsiTheme="minorHAnsi" w:cs="Calibri"/>
          <w:kern w:val="0"/>
          <w:sz w:val="24"/>
          <w14:ligatures w14:val="none"/>
        </w:rPr>
        <w:t>Welche Bedeutung haben Körper und Leiblichkeit des Menschen für Begegnungsprozesse in Bildungskontexten? Diese Bezugnahme ist einzuordnen theoretische und empirische Forschungsbeiträge.</w:t>
      </w:r>
    </w:p>
    <w:p w:rsidR="00126330" w:rsidRDefault="00126330">
      <w:pPr>
        <w:spacing w:after="0" w:line="240" w:lineRule="auto"/>
        <w:rPr>
          <w:rFonts w:asciiTheme="minorHAnsi" w:hAnsiTheme="minorHAnsi" w:cs="Calibri"/>
          <w:kern w:val="0"/>
          <w:sz w:val="24"/>
          <w14:ligatures w14:val="none"/>
        </w:rPr>
      </w:pPr>
    </w:p>
    <w:p w:rsidR="00126330" w:rsidRDefault="00000000">
      <w:pPr>
        <w:spacing w:after="0" w:line="240" w:lineRule="auto"/>
        <w:jc w:val="both"/>
      </w:pPr>
      <w:r>
        <w:rPr>
          <w:rFonts w:asciiTheme="minorHAnsi" w:hAnsiTheme="minorHAnsi" w:cs="Calibri"/>
          <w:kern w:val="0"/>
          <w:sz w:val="24"/>
          <w14:ligatures w14:val="none"/>
        </w:rPr>
        <w:t xml:space="preserve">Das hiesige Erkenntnisinteresse richtet sich auf die Hypothese: Eine Qualität des Studierens zeichnet sich aus durch zufällige Begegnungen (siehe, wenn auch nicht wissenschaftlich, dennoch aber aus wissenschaftlicher Sicht interessant: „Zufall als </w:t>
      </w:r>
      <w:proofErr w:type="spellStart"/>
      <w:r>
        <w:rPr>
          <w:rFonts w:asciiTheme="minorHAnsi" w:hAnsiTheme="minorHAnsi" w:cs="Calibri"/>
          <w:kern w:val="0"/>
          <w:sz w:val="24"/>
          <w14:ligatures w14:val="none"/>
        </w:rPr>
        <w:t>Urmotiv</w:t>
      </w:r>
      <w:proofErr w:type="spellEnd"/>
      <w:r>
        <w:rPr>
          <w:rFonts w:asciiTheme="minorHAnsi" w:hAnsiTheme="minorHAnsi" w:cs="Calibri"/>
          <w:kern w:val="0"/>
          <w:sz w:val="24"/>
          <w14:ligatures w14:val="none"/>
        </w:rPr>
        <w:t xml:space="preserve">“: Auster 2017). Die Hypothese leitet sich her aus der Phänomenologie: Phänomenologisch </w:t>
      </w:r>
      <w:proofErr w:type="spellStart"/>
      <w:r>
        <w:rPr>
          <w:rFonts w:asciiTheme="minorHAnsi" w:hAnsiTheme="minorHAnsi" w:cs="Calibri"/>
          <w:kern w:val="0"/>
          <w:sz w:val="24"/>
          <w14:ligatures w14:val="none"/>
        </w:rPr>
        <w:t>betrachtbar</w:t>
      </w:r>
      <w:proofErr w:type="spellEnd"/>
      <w:r>
        <w:rPr>
          <w:rFonts w:asciiTheme="minorHAnsi" w:hAnsiTheme="minorHAnsi" w:cs="Calibri"/>
          <w:kern w:val="0"/>
          <w:sz w:val="24"/>
          <w14:ligatures w14:val="none"/>
        </w:rPr>
        <w:t xml:space="preserve"> wäre, dass Studierende im Laufe Ihrer Teilnahme an der (Campus)-Lebenswelt („in der-Welt-sein“, </w:t>
      </w:r>
      <w:proofErr w:type="spellStart"/>
      <w:r>
        <w:rPr>
          <w:rFonts w:asciiTheme="minorHAnsi" w:hAnsiTheme="minorHAnsi" w:cs="Calibri"/>
          <w:kern w:val="0"/>
          <w:sz w:val="24"/>
          <w14:ligatures w14:val="none"/>
        </w:rPr>
        <w:t>être</w:t>
      </w:r>
      <w:proofErr w:type="spellEnd"/>
      <w:r>
        <w:rPr>
          <w:rFonts w:asciiTheme="minorHAnsi" w:hAnsiTheme="minorHAnsi" w:cs="Calibri"/>
          <w:kern w:val="0"/>
          <w:sz w:val="24"/>
          <w14:ligatures w14:val="none"/>
        </w:rPr>
        <w:t xml:space="preserve">-au-monde) eine – man könnte sagen – studentische Lebendigkeit und Leiblichkeit entwickeln: „[…] </w:t>
      </w:r>
      <w:proofErr w:type="spellStart"/>
      <w:r>
        <w:rPr>
          <w:rFonts w:asciiTheme="minorHAnsi" w:hAnsiTheme="minorHAnsi" w:cs="Calibri"/>
          <w:kern w:val="0"/>
          <w:sz w:val="24"/>
          <w14:ligatures w14:val="none"/>
        </w:rPr>
        <w:t>finding</w:t>
      </w:r>
      <w:proofErr w:type="spellEnd"/>
      <w:r>
        <w:rPr>
          <w:rFonts w:asciiTheme="minorHAnsi" w:hAnsiTheme="minorHAnsi" w:cs="Calibri"/>
          <w:kern w:val="0"/>
          <w:sz w:val="24"/>
          <w14:ligatures w14:val="none"/>
        </w:rPr>
        <w:t xml:space="preserve"> </w:t>
      </w:r>
      <w:proofErr w:type="spellStart"/>
      <w:r>
        <w:rPr>
          <w:rFonts w:asciiTheme="minorHAnsi" w:hAnsiTheme="minorHAnsi" w:cs="Calibri"/>
          <w:kern w:val="0"/>
          <w:sz w:val="24"/>
          <w14:ligatures w14:val="none"/>
        </w:rPr>
        <w:t>through</w:t>
      </w:r>
      <w:proofErr w:type="spellEnd"/>
      <w:r>
        <w:rPr>
          <w:rFonts w:asciiTheme="minorHAnsi" w:hAnsiTheme="minorHAnsi" w:cs="Calibri"/>
          <w:kern w:val="0"/>
          <w:sz w:val="24"/>
          <w14:ligatures w14:val="none"/>
        </w:rPr>
        <w:t xml:space="preserve"> a </w:t>
      </w:r>
      <w:proofErr w:type="spellStart"/>
      <w:r>
        <w:rPr>
          <w:rFonts w:asciiTheme="minorHAnsi" w:hAnsiTheme="minorHAnsi" w:cs="Calibri"/>
          <w:kern w:val="0"/>
          <w:sz w:val="24"/>
          <w14:ligatures w14:val="none"/>
        </w:rPr>
        <w:t>return</w:t>
      </w:r>
      <w:proofErr w:type="spellEnd"/>
      <w:r>
        <w:rPr>
          <w:rFonts w:asciiTheme="minorHAnsi" w:hAnsiTheme="minorHAnsi" w:cs="Calibri"/>
          <w:kern w:val="0"/>
          <w:sz w:val="24"/>
          <w14:ligatures w14:val="none"/>
        </w:rPr>
        <w:t xml:space="preserve"> </w:t>
      </w:r>
      <w:proofErr w:type="spellStart"/>
      <w:r>
        <w:rPr>
          <w:rFonts w:asciiTheme="minorHAnsi" w:hAnsiTheme="minorHAnsi" w:cs="Calibri"/>
          <w:kern w:val="0"/>
          <w:sz w:val="24"/>
          <w14:ligatures w14:val="none"/>
        </w:rPr>
        <w:t>to</w:t>
      </w:r>
      <w:proofErr w:type="spellEnd"/>
      <w:r>
        <w:rPr>
          <w:rFonts w:asciiTheme="minorHAnsi" w:hAnsiTheme="minorHAnsi" w:cs="Calibri"/>
          <w:kern w:val="0"/>
          <w:sz w:val="24"/>
          <w14:ligatures w14:val="none"/>
        </w:rPr>
        <w:t xml:space="preserve"> </w:t>
      </w:r>
      <w:proofErr w:type="spellStart"/>
      <w:r>
        <w:rPr>
          <w:rFonts w:asciiTheme="minorHAnsi" w:hAnsiTheme="minorHAnsi" w:cs="Calibri"/>
          <w:kern w:val="0"/>
          <w:sz w:val="24"/>
          <w14:ligatures w14:val="none"/>
        </w:rPr>
        <w:t>the</w:t>
      </w:r>
      <w:proofErr w:type="spellEnd"/>
      <w:r>
        <w:rPr>
          <w:rFonts w:asciiTheme="minorHAnsi" w:hAnsiTheme="minorHAnsi" w:cs="Calibri"/>
          <w:kern w:val="0"/>
          <w:sz w:val="24"/>
          <w14:ligatures w14:val="none"/>
        </w:rPr>
        <w:t xml:space="preserve"> </w:t>
      </w:r>
      <w:proofErr w:type="spellStart"/>
      <w:r>
        <w:rPr>
          <w:rFonts w:asciiTheme="minorHAnsi" w:hAnsiTheme="minorHAnsi" w:cs="Calibri"/>
          <w:kern w:val="0"/>
          <w:sz w:val="24"/>
          <w14:ligatures w14:val="none"/>
        </w:rPr>
        <w:t>truth</w:t>
      </w:r>
      <w:proofErr w:type="spellEnd"/>
      <w:r>
        <w:rPr>
          <w:rFonts w:asciiTheme="minorHAnsi" w:hAnsiTheme="minorHAnsi" w:cs="Calibri"/>
          <w:kern w:val="0"/>
          <w:sz w:val="24"/>
          <w14:ligatures w14:val="none"/>
        </w:rPr>
        <w:t xml:space="preserve"> </w:t>
      </w:r>
      <w:proofErr w:type="spellStart"/>
      <w:r>
        <w:rPr>
          <w:rFonts w:asciiTheme="minorHAnsi" w:hAnsiTheme="minorHAnsi" w:cs="Calibri"/>
          <w:kern w:val="0"/>
          <w:sz w:val="24"/>
          <w14:ligatures w14:val="none"/>
        </w:rPr>
        <w:t>of</w:t>
      </w:r>
      <w:proofErr w:type="spellEnd"/>
      <w:r>
        <w:rPr>
          <w:rFonts w:asciiTheme="minorHAnsi" w:hAnsiTheme="minorHAnsi" w:cs="Calibri"/>
          <w:kern w:val="0"/>
          <w:sz w:val="24"/>
          <w14:ligatures w14:val="none"/>
        </w:rPr>
        <w:t xml:space="preserve"> </w:t>
      </w:r>
      <w:proofErr w:type="spellStart"/>
      <w:r>
        <w:rPr>
          <w:rFonts w:asciiTheme="minorHAnsi" w:hAnsiTheme="minorHAnsi" w:cs="Calibri"/>
          <w:kern w:val="0"/>
          <w:sz w:val="24"/>
          <w14:ligatures w14:val="none"/>
        </w:rPr>
        <w:t>perceptual</w:t>
      </w:r>
      <w:proofErr w:type="spellEnd"/>
      <w:r>
        <w:rPr>
          <w:rFonts w:asciiTheme="minorHAnsi" w:hAnsiTheme="minorHAnsi" w:cs="Calibri"/>
          <w:kern w:val="0"/>
          <w:sz w:val="24"/>
          <w14:ligatures w14:val="none"/>
        </w:rPr>
        <w:t xml:space="preserve"> </w:t>
      </w:r>
      <w:proofErr w:type="spellStart"/>
      <w:r>
        <w:rPr>
          <w:rFonts w:asciiTheme="minorHAnsi" w:hAnsiTheme="minorHAnsi" w:cs="Calibri"/>
          <w:kern w:val="0"/>
          <w:sz w:val="24"/>
          <w14:ligatures w14:val="none"/>
        </w:rPr>
        <w:t>experience</w:t>
      </w:r>
      <w:proofErr w:type="spellEnd"/>
      <w:r>
        <w:rPr>
          <w:rFonts w:asciiTheme="minorHAnsi" w:hAnsiTheme="minorHAnsi" w:cs="Calibri"/>
          <w:kern w:val="0"/>
          <w:sz w:val="24"/>
          <w14:ligatures w14:val="none"/>
        </w:rPr>
        <w:t xml:space="preserve"> (</w:t>
      </w:r>
      <w:proofErr w:type="spellStart"/>
      <w:r>
        <w:rPr>
          <w:rFonts w:asciiTheme="minorHAnsi" w:hAnsiTheme="minorHAnsi" w:cs="Calibri"/>
          <w:kern w:val="0"/>
          <w:sz w:val="24"/>
          <w14:ligatures w14:val="none"/>
        </w:rPr>
        <w:t>Merleau</w:t>
      </w:r>
      <w:proofErr w:type="spellEnd"/>
      <w:r>
        <w:rPr>
          <w:rFonts w:asciiTheme="minorHAnsi" w:hAnsiTheme="minorHAnsi" w:cs="Calibri"/>
          <w:kern w:val="0"/>
          <w:sz w:val="24"/>
          <w14:ligatures w14:val="none"/>
        </w:rPr>
        <w:t>-Ponty, 1945, XVIII). Ziel soll nun sein, das Erleben eines ´ganzen` Menschen (</w:t>
      </w:r>
      <w:proofErr w:type="spellStart"/>
      <w:r>
        <w:rPr>
          <w:rFonts w:asciiTheme="minorHAnsi" w:hAnsiTheme="minorHAnsi" w:cs="Calibri"/>
          <w:kern w:val="0"/>
          <w:sz w:val="24"/>
          <w14:ligatures w14:val="none"/>
        </w:rPr>
        <w:t>Bugental</w:t>
      </w:r>
      <w:proofErr w:type="spellEnd"/>
      <w:r>
        <w:rPr>
          <w:rFonts w:asciiTheme="minorHAnsi" w:hAnsiTheme="minorHAnsi" w:cs="Calibri"/>
          <w:kern w:val="0"/>
          <w:sz w:val="24"/>
          <w14:ligatures w14:val="none"/>
        </w:rPr>
        <w:t xml:space="preserve"> 1963) kontextbezogen auf den Hochschulbetrieb zu reformulieren: Folgt man Loch, so sieht sich die Phänomenologie dazu berufen, Erkenntnisse über die Einlegung von Sinn (1995, S. 162) zu gewinnen. Der Hochschulbetrieb bietet rollenspezifische Mündigkeitstermine (siehe Loch 1979, S. 30), die nicht nur bildschirmsituiert planbar sind: Interaktive zufällige Begegnungen schließen Wahrnehmungserfahrung (vgl. Husserl 1928, 367-496) ein, Erlebtes (</w:t>
      </w:r>
      <w:proofErr w:type="spellStart"/>
      <w:r>
        <w:rPr>
          <w:rFonts w:asciiTheme="minorHAnsi" w:hAnsiTheme="minorHAnsi" w:cs="Calibri"/>
          <w:kern w:val="0"/>
          <w:sz w:val="24"/>
          <w14:ligatures w14:val="none"/>
        </w:rPr>
        <w:t>experientia</w:t>
      </w:r>
      <w:proofErr w:type="spellEnd"/>
      <w:r>
        <w:rPr>
          <w:rFonts w:asciiTheme="minorHAnsi" w:hAnsiTheme="minorHAnsi" w:cs="Calibri"/>
          <w:kern w:val="0"/>
          <w:sz w:val="24"/>
          <w14:ligatures w14:val="none"/>
        </w:rPr>
        <w:t>) im Universitätsleben zu kompensieren und zu komponieren, also Sinn über das Curriculum hinaus einzulegen. Sinn entsteht unter anderem am körperlichen Lebensgefühl bzw. durch Verlebendigung des Lehrens und Lernens (vgl. Loch 1977).</w:t>
      </w:r>
    </w:p>
    <w:p w:rsidR="00126330" w:rsidRDefault="00000000">
      <w:pPr>
        <w:spacing w:after="0" w:line="240" w:lineRule="auto"/>
        <w:jc w:val="both"/>
      </w:pPr>
      <w:r>
        <w:rPr>
          <w:rFonts w:asciiTheme="minorHAnsi" w:hAnsiTheme="minorHAnsi" w:cs="Calibri"/>
          <w:kern w:val="0"/>
          <w:sz w:val="24"/>
          <w14:ligatures w14:val="none"/>
        </w:rPr>
        <w:t xml:space="preserve">Die zu beantwortende Frage lautet: Inwieweit wird es den Studierenden ermöglicht, sich in der Universitätswelt bzw. im Hochschulbetrieb zufällig zu begegnen, dass Formen der Interaktion entstehen (Kommunikation unter leiblich Anwesenden im gemeinsamen physikalischen Raum, siehe dazu auch Gellert 1769 &amp; </w:t>
      </w:r>
      <w:proofErr w:type="spellStart"/>
      <w:r>
        <w:rPr>
          <w:rFonts w:asciiTheme="minorHAnsi" w:hAnsiTheme="minorHAnsi" w:cs="Calibri"/>
          <w:kern w:val="0"/>
          <w:sz w:val="24"/>
          <w14:ligatures w14:val="none"/>
        </w:rPr>
        <w:t>Breiner</w:t>
      </w:r>
      <w:proofErr w:type="spellEnd"/>
      <w:r>
        <w:rPr>
          <w:rFonts w:asciiTheme="minorHAnsi" w:hAnsiTheme="minorHAnsi" w:cs="Calibri"/>
          <w:kern w:val="0"/>
          <w:sz w:val="24"/>
          <w14:ligatures w14:val="none"/>
        </w:rPr>
        <w:t xml:space="preserve"> 2019, ebenso Geschke 2019), die über den digitalen Unterricht hinausgehende Sinneinlegungen ermöglichen? </w:t>
      </w:r>
    </w:p>
    <w:p w:rsidR="00126330" w:rsidRDefault="00000000">
      <w:pPr>
        <w:spacing w:after="0" w:line="240" w:lineRule="auto"/>
        <w:jc w:val="both"/>
      </w:pPr>
      <w:r>
        <w:rPr>
          <w:rFonts w:asciiTheme="minorHAnsi" w:hAnsiTheme="minorHAnsi" w:cs="Calibri"/>
          <w:kern w:val="0"/>
          <w:sz w:val="24"/>
          <w14:ligatures w14:val="none"/>
        </w:rPr>
        <w:t xml:space="preserve">Ergebnis: Qualitative und quantitative operationalisierbare Evaluationskriterien werden vorgestellt. </w:t>
      </w:r>
    </w:p>
    <w:p w:rsidR="00126330" w:rsidRDefault="00126330">
      <w:pPr>
        <w:widowControl w:val="0"/>
        <w:spacing w:after="0" w:line="240" w:lineRule="auto"/>
        <w:rPr>
          <w:rFonts w:ascii="Calibri" w:eastAsia="Calibri" w:hAnsi="Calibri" w:cs="Calibri"/>
          <w:iCs/>
          <w:spacing w:val="-2"/>
          <w:kern w:val="0"/>
          <w:sz w:val="24"/>
          <w14:ligatures w14:val="none"/>
        </w:rPr>
      </w:pPr>
    </w:p>
    <w:p w:rsidR="00126330" w:rsidRDefault="00126330">
      <w:pPr>
        <w:widowControl w:val="0"/>
        <w:spacing w:after="0" w:line="240" w:lineRule="auto"/>
        <w:rPr>
          <w:rFonts w:ascii="Calibri" w:eastAsia="Calibri" w:hAnsi="Calibri" w:cs="Calibri"/>
          <w:iCs/>
          <w:spacing w:val="-2"/>
          <w:kern w:val="0"/>
          <w:sz w:val="24"/>
          <w14:ligatures w14:val="none"/>
        </w:rPr>
      </w:pPr>
    </w:p>
    <w:p w:rsidR="00126330" w:rsidRDefault="00000000">
      <w:pPr>
        <w:widowControl w:val="0"/>
        <w:spacing w:after="0" w:line="240" w:lineRule="auto"/>
        <w:rPr>
          <w:rFonts w:ascii="Calibri" w:eastAsia="Calibri" w:hAnsi="Calibri" w:cs="Calibri"/>
          <w:iCs/>
          <w:spacing w:val="-2"/>
          <w:kern w:val="0"/>
          <w:sz w:val="24"/>
          <w14:ligatures w14:val="none"/>
        </w:rPr>
      </w:pPr>
      <w:r>
        <w:rPr>
          <w:rFonts w:ascii="Calibri" w:eastAsia="Calibri" w:hAnsi="Calibri" w:cs="Calibri"/>
          <w:iCs/>
          <w:spacing w:val="-2"/>
          <w:kern w:val="0"/>
          <w:sz w:val="24"/>
          <w14:ligatures w14:val="none"/>
        </w:rPr>
        <w:t>Literatur (vorläufig)</w:t>
      </w:r>
    </w:p>
    <w:p w:rsidR="00126330" w:rsidRDefault="00126330">
      <w:pPr>
        <w:widowControl w:val="0"/>
        <w:spacing w:after="0" w:line="240" w:lineRule="auto"/>
      </w:pPr>
    </w:p>
    <w:p w:rsidR="00126330" w:rsidRDefault="00000000" w:rsidP="000A6CFC">
      <w:pPr>
        <w:widowControl w:val="0"/>
        <w:spacing w:after="80" w:line="240" w:lineRule="auto"/>
        <w:ind w:right="527"/>
        <w:jc w:val="both"/>
        <w:rPr>
          <w:rFonts w:ascii="Calibri" w:eastAsia="Calibri" w:hAnsi="Calibri" w:cs="Calibri"/>
          <w:iCs/>
          <w:kern w:val="0"/>
          <w:sz w:val="20"/>
          <w:szCs w:val="20"/>
          <w14:ligatures w14:val="none"/>
        </w:rPr>
      </w:pPr>
      <w:r>
        <w:rPr>
          <w:rFonts w:ascii="Calibri" w:eastAsia="Calibri" w:hAnsi="Calibri" w:cs="Calibri"/>
          <w:iCs/>
          <w:kern w:val="0"/>
          <w:sz w:val="20"/>
          <w:szCs w:val="20"/>
          <w14:ligatures w14:val="none"/>
        </w:rPr>
        <w:t>Auster, Paul (2017). 4321. Hamburg: Rowohlt</w:t>
      </w:r>
    </w:p>
    <w:p w:rsidR="00126330" w:rsidRDefault="00000000" w:rsidP="000A6CFC">
      <w:pPr>
        <w:widowControl w:val="0"/>
        <w:spacing w:after="80" w:line="240" w:lineRule="auto"/>
        <w:ind w:right="527"/>
        <w:jc w:val="both"/>
        <w:rPr>
          <w:rFonts w:ascii="Calibri" w:eastAsia="Calibri" w:hAnsi="Calibri" w:cs="Calibri"/>
          <w:iCs/>
          <w:kern w:val="0"/>
          <w:sz w:val="20"/>
          <w:szCs w:val="20"/>
          <w14:ligatures w14:val="none"/>
        </w:rPr>
      </w:pPr>
      <w:proofErr w:type="spellStart"/>
      <w:r>
        <w:rPr>
          <w:rFonts w:ascii="Calibri" w:eastAsia="Calibri" w:hAnsi="Calibri" w:cs="Calibri"/>
          <w:iCs/>
          <w:kern w:val="0"/>
          <w:sz w:val="20"/>
          <w:szCs w:val="20"/>
          <w14:ligatures w14:val="none"/>
        </w:rPr>
        <w:t>Breiner</w:t>
      </w:r>
      <w:proofErr w:type="spellEnd"/>
      <w:r>
        <w:rPr>
          <w:rFonts w:ascii="Calibri" w:eastAsia="Calibri" w:hAnsi="Calibri" w:cs="Calibri"/>
          <w:iCs/>
          <w:kern w:val="0"/>
          <w:sz w:val="20"/>
          <w:szCs w:val="20"/>
          <w14:ligatures w14:val="none"/>
        </w:rPr>
        <w:t>, T.C. (2019). Farb- und Formpsychologie. Berlin: Springer.</w:t>
      </w:r>
    </w:p>
    <w:p w:rsidR="00126330" w:rsidRDefault="00126330" w:rsidP="000A6CFC">
      <w:pPr>
        <w:widowControl w:val="0"/>
        <w:spacing w:after="80" w:line="240" w:lineRule="auto"/>
        <w:ind w:right="527"/>
        <w:rPr>
          <w:rFonts w:ascii="Calibri" w:eastAsia="Calibri" w:hAnsi="Calibri" w:cs="Calibri"/>
          <w:iCs/>
          <w:kern w:val="0"/>
          <w:sz w:val="20"/>
          <w:szCs w:val="20"/>
          <w14:ligatures w14:val="none"/>
        </w:rPr>
      </w:pPr>
    </w:p>
    <w:p w:rsidR="00126330" w:rsidRDefault="00000000" w:rsidP="000A6CFC">
      <w:pPr>
        <w:widowControl w:val="0"/>
        <w:spacing w:after="80" w:line="240" w:lineRule="auto"/>
        <w:ind w:right="527"/>
        <w:jc w:val="both"/>
        <w:rPr>
          <w:rFonts w:ascii="Calibri" w:eastAsia="Calibri" w:hAnsi="Calibri" w:cs="Calibri"/>
          <w:iCs/>
          <w:kern w:val="0"/>
          <w:sz w:val="20"/>
          <w:szCs w:val="20"/>
          <w14:ligatures w14:val="none"/>
        </w:rPr>
      </w:pPr>
      <w:proofErr w:type="spellStart"/>
      <w:r>
        <w:rPr>
          <w:rFonts w:ascii="Calibri" w:eastAsia="Calibri" w:hAnsi="Calibri" w:cs="Calibri"/>
          <w:iCs/>
          <w:kern w:val="0"/>
          <w:sz w:val="20"/>
          <w:szCs w:val="20"/>
          <w14:ligatures w14:val="none"/>
        </w:rPr>
        <w:lastRenderedPageBreak/>
        <w:t>Bugental</w:t>
      </w:r>
      <w:proofErr w:type="spellEnd"/>
      <w:r>
        <w:rPr>
          <w:rFonts w:ascii="Calibri" w:eastAsia="Calibri" w:hAnsi="Calibri" w:cs="Calibri"/>
          <w:iCs/>
          <w:kern w:val="0"/>
          <w:sz w:val="20"/>
          <w:szCs w:val="20"/>
          <w14:ligatures w14:val="none"/>
        </w:rPr>
        <w:t xml:space="preserve">, J. (1963). Humanistische Psychologie: Ein neuer Durchbruch. Amerikanischer Psychologe,18 (9), 563–567. </w:t>
      </w:r>
      <w:hyperlink r:id="rId6" w:tgtFrame="_blank">
        <w:r>
          <w:rPr>
            <w:rFonts w:ascii="Calibri" w:eastAsia="Calibri" w:hAnsi="Calibri" w:cs="Calibri"/>
            <w:iCs/>
            <w:kern w:val="0"/>
            <w:sz w:val="20"/>
            <w:szCs w:val="20"/>
            <w14:ligatures w14:val="none"/>
          </w:rPr>
          <w:t>https://doi.org/10.1037/h0048666</w:t>
        </w:r>
      </w:hyperlink>
    </w:p>
    <w:p w:rsidR="00126330" w:rsidRDefault="00000000" w:rsidP="000A6CFC">
      <w:pPr>
        <w:widowControl w:val="0"/>
        <w:spacing w:after="80" w:line="240" w:lineRule="auto"/>
        <w:ind w:right="527"/>
        <w:jc w:val="both"/>
        <w:rPr>
          <w:rFonts w:ascii="Calibri" w:eastAsia="Calibri" w:hAnsi="Calibri" w:cs="Calibri"/>
          <w:iCs/>
          <w:kern w:val="0"/>
          <w:sz w:val="20"/>
          <w:szCs w:val="20"/>
          <w14:ligatures w14:val="none"/>
        </w:rPr>
      </w:pPr>
      <w:r>
        <w:rPr>
          <w:rFonts w:ascii="Calibri" w:eastAsia="Calibri" w:hAnsi="Calibri" w:cs="Calibri"/>
          <w:iCs/>
          <w:kern w:val="0"/>
          <w:sz w:val="20"/>
          <w:szCs w:val="20"/>
          <w14:ligatures w14:val="none"/>
        </w:rPr>
        <w:t xml:space="preserve">Gellert, Christian Fürchtegott (1769). </w:t>
      </w:r>
      <w:proofErr w:type="gramStart"/>
      <w:r>
        <w:rPr>
          <w:rFonts w:ascii="Calibri" w:eastAsia="Calibri" w:hAnsi="Calibri" w:cs="Calibri"/>
          <w:iCs/>
          <w:kern w:val="0"/>
          <w:sz w:val="20"/>
          <w:szCs w:val="20"/>
          <w14:ligatures w14:val="none"/>
        </w:rPr>
        <w:t>Von dem Einflüsse</w:t>
      </w:r>
      <w:proofErr w:type="gramEnd"/>
      <w:r>
        <w:rPr>
          <w:rFonts w:ascii="Calibri" w:eastAsia="Calibri" w:hAnsi="Calibri" w:cs="Calibri"/>
          <w:iCs/>
          <w:kern w:val="0"/>
          <w:sz w:val="20"/>
          <w:szCs w:val="20"/>
          <w14:ligatures w14:val="none"/>
        </w:rPr>
        <w:t xml:space="preserve"> der schönen Wissenschaft auf das Herz und die Sitten. Sämtliche Schriften, 5. Leipzig: Weidmann.</w:t>
      </w:r>
    </w:p>
    <w:p w:rsidR="00126330" w:rsidRDefault="00000000" w:rsidP="000A6CFC">
      <w:pPr>
        <w:widowControl w:val="0"/>
        <w:spacing w:after="80" w:line="240" w:lineRule="auto"/>
        <w:ind w:right="527"/>
        <w:jc w:val="both"/>
        <w:rPr>
          <w:rFonts w:ascii="Calibri" w:eastAsia="Calibri" w:hAnsi="Calibri" w:cs="Calibri"/>
          <w:iCs/>
          <w:kern w:val="0"/>
          <w:sz w:val="20"/>
          <w:szCs w:val="20"/>
          <w14:ligatures w14:val="none"/>
        </w:rPr>
      </w:pPr>
      <w:r>
        <w:rPr>
          <w:rFonts w:ascii="Calibri" w:eastAsia="Calibri" w:hAnsi="Calibri" w:cs="Calibri"/>
          <w:iCs/>
          <w:kern w:val="0"/>
          <w:sz w:val="20"/>
          <w:szCs w:val="20"/>
          <w14:ligatures w14:val="none"/>
        </w:rPr>
        <w:t xml:space="preserve">Geschke, Sandra Maria (2019). Nahaufnahmen: - eine Wissenschaftspoesie des Alltags. Norderstedt: </w:t>
      </w:r>
      <w:proofErr w:type="spellStart"/>
      <w:r>
        <w:rPr>
          <w:rFonts w:ascii="Calibri" w:eastAsia="Calibri" w:hAnsi="Calibri" w:cs="Calibri"/>
          <w:iCs/>
          <w:kern w:val="0"/>
          <w:sz w:val="20"/>
          <w:szCs w:val="20"/>
          <w14:ligatures w14:val="none"/>
        </w:rPr>
        <w:t>BoD</w:t>
      </w:r>
      <w:proofErr w:type="spellEnd"/>
      <w:r>
        <w:rPr>
          <w:rFonts w:ascii="Calibri" w:eastAsia="Calibri" w:hAnsi="Calibri" w:cs="Calibri"/>
          <w:iCs/>
          <w:kern w:val="0"/>
          <w:sz w:val="20"/>
          <w:szCs w:val="20"/>
          <w14:ligatures w14:val="none"/>
        </w:rPr>
        <w:t>.</w:t>
      </w:r>
    </w:p>
    <w:p w:rsidR="00126330" w:rsidRDefault="00000000" w:rsidP="000A6CFC">
      <w:pPr>
        <w:widowControl w:val="0"/>
        <w:spacing w:after="80" w:line="240" w:lineRule="auto"/>
        <w:ind w:right="527"/>
        <w:jc w:val="both"/>
        <w:rPr>
          <w:rFonts w:ascii="Calibri" w:eastAsia="Calibri" w:hAnsi="Calibri" w:cs="Calibri"/>
          <w:iCs/>
          <w:kern w:val="0"/>
          <w:sz w:val="20"/>
          <w:szCs w:val="20"/>
          <w14:ligatures w14:val="none"/>
        </w:rPr>
      </w:pPr>
      <w:r>
        <w:rPr>
          <w:rFonts w:ascii="Calibri" w:eastAsia="Calibri" w:hAnsi="Calibri" w:cs="Calibri"/>
          <w:iCs/>
          <w:kern w:val="0"/>
          <w:sz w:val="20"/>
          <w:szCs w:val="20"/>
          <w14:ligatures w14:val="none"/>
        </w:rPr>
        <w:t>Husserl, Edmund (1928). Vorlesungen zur Phänomenologie des inneren Zeitbewu</w:t>
      </w:r>
      <w:r w:rsidR="00E70E56">
        <w:rPr>
          <w:rFonts w:ascii="Calibri" w:eastAsia="Calibri" w:hAnsi="Calibri" w:cs="Calibri"/>
          <w:iCs/>
          <w:kern w:val="0"/>
          <w:sz w:val="20"/>
          <w:szCs w:val="20"/>
          <w14:ligatures w14:val="none"/>
        </w:rPr>
        <w:t>ss</w:t>
      </w:r>
      <w:r>
        <w:rPr>
          <w:rFonts w:ascii="Calibri" w:eastAsia="Calibri" w:hAnsi="Calibri" w:cs="Calibri"/>
          <w:iCs/>
          <w:kern w:val="0"/>
          <w:sz w:val="20"/>
          <w:szCs w:val="20"/>
          <w14:ligatures w14:val="none"/>
        </w:rPr>
        <w:t>tseins. Jahrbuch für Philosophie und phänomenologische Forschung 9. Halle: Max Niemeyer.</w:t>
      </w:r>
    </w:p>
    <w:p w:rsidR="00126330" w:rsidRDefault="00000000" w:rsidP="000A6CFC">
      <w:pPr>
        <w:widowControl w:val="0"/>
        <w:spacing w:after="80" w:line="240" w:lineRule="auto"/>
        <w:ind w:right="527"/>
        <w:jc w:val="both"/>
        <w:rPr>
          <w:rFonts w:ascii="Calibri" w:eastAsia="Calibri" w:hAnsi="Calibri" w:cs="Calibri"/>
          <w:iCs/>
          <w:kern w:val="0"/>
          <w:sz w:val="20"/>
          <w:szCs w:val="20"/>
          <w14:ligatures w14:val="none"/>
        </w:rPr>
      </w:pPr>
      <w:r>
        <w:rPr>
          <w:rFonts w:ascii="Calibri" w:eastAsia="Calibri" w:hAnsi="Calibri" w:cs="Calibri"/>
          <w:iCs/>
          <w:kern w:val="0"/>
          <w:sz w:val="20"/>
          <w:szCs w:val="20"/>
          <w14:ligatures w14:val="none"/>
        </w:rPr>
        <w:t>Loch, Werner (1979). Lebenslauf und Erziehung. Essen: Neue Deutsche Schule.</w:t>
      </w:r>
    </w:p>
    <w:p w:rsidR="00126330" w:rsidRDefault="00000000" w:rsidP="000A6CFC">
      <w:pPr>
        <w:widowControl w:val="0"/>
        <w:spacing w:after="80" w:line="240" w:lineRule="auto"/>
        <w:ind w:right="527"/>
        <w:jc w:val="both"/>
        <w:rPr>
          <w:rFonts w:ascii="Calibri" w:eastAsia="Calibri" w:hAnsi="Calibri" w:cs="Calibri"/>
          <w:iCs/>
          <w:kern w:val="0"/>
          <w:sz w:val="20"/>
          <w:szCs w:val="20"/>
          <w14:ligatures w14:val="none"/>
        </w:rPr>
      </w:pPr>
      <w:r>
        <w:rPr>
          <w:rFonts w:ascii="Calibri" w:eastAsia="Calibri" w:hAnsi="Calibri" w:cs="Calibri"/>
          <w:iCs/>
          <w:kern w:val="0"/>
          <w:sz w:val="20"/>
          <w:szCs w:val="20"/>
          <w14:ligatures w14:val="none"/>
        </w:rPr>
        <w:t>Loch, Werner (1977). Enkulturation als anthropologischer Grundbegriff der Pädagogik. In: Bernd Götz &amp; Jochen Kaltschmid (</w:t>
      </w:r>
      <w:proofErr w:type="spellStart"/>
      <w:r>
        <w:rPr>
          <w:rFonts w:ascii="Calibri" w:eastAsia="Calibri" w:hAnsi="Calibri" w:cs="Calibri"/>
          <w:iCs/>
          <w:kern w:val="0"/>
          <w:sz w:val="20"/>
          <w:szCs w:val="20"/>
          <w14:ligatures w14:val="none"/>
        </w:rPr>
        <w:t>Hg</w:t>
      </w:r>
      <w:proofErr w:type="spellEnd"/>
      <w:r>
        <w:rPr>
          <w:rFonts w:ascii="Calibri" w:eastAsia="Calibri" w:hAnsi="Calibri" w:cs="Calibri"/>
          <w:iCs/>
          <w:kern w:val="0"/>
          <w:sz w:val="20"/>
          <w:szCs w:val="20"/>
          <w14:ligatures w14:val="none"/>
        </w:rPr>
        <w:t>.): Erziehungswissenschaft und Soziologie. Darmstadt: Wiss. Buchgesellschaft.</w:t>
      </w:r>
    </w:p>
    <w:p w:rsidR="00126330" w:rsidRDefault="00000000" w:rsidP="000A6CFC">
      <w:pPr>
        <w:widowControl w:val="0"/>
        <w:spacing w:after="80" w:line="240" w:lineRule="auto"/>
        <w:ind w:right="527"/>
        <w:jc w:val="both"/>
        <w:rPr>
          <w:rFonts w:ascii="Calibri" w:eastAsia="Calibri" w:hAnsi="Calibri" w:cs="Calibri"/>
          <w:iCs/>
          <w:kern w:val="0"/>
          <w:sz w:val="20"/>
          <w:szCs w:val="20"/>
          <w14:ligatures w14:val="none"/>
        </w:rPr>
      </w:pPr>
      <w:r>
        <w:rPr>
          <w:rFonts w:ascii="Calibri" w:eastAsia="Calibri" w:hAnsi="Calibri" w:cs="Calibri"/>
          <w:iCs/>
          <w:kern w:val="0"/>
          <w:sz w:val="20"/>
          <w:szCs w:val="20"/>
          <w14:ligatures w14:val="none"/>
        </w:rPr>
        <w:t>Loch, Werner (1995): Phänomenologische Pädagogik. In: Lenzen, Dieter &amp; Mollenhauer, Klaus (Hrsg.): Theorien und Grundbegriffe der Erziehung und Bildung. Stuttgart: Klett, S. 155-173.</w:t>
      </w:r>
    </w:p>
    <w:p w:rsidR="00126330" w:rsidRDefault="00000000" w:rsidP="000A6CFC">
      <w:pPr>
        <w:widowControl w:val="0"/>
        <w:spacing w:after="80" w:line="240" w:lineRule="auto"/>
        <w:ind w:right="527"/>
        <w:jc w:val="both"/>
        <w:rPr>
          <w:rFonts w:ascii="Calibri" w:eastAsia="Calibri" w:hAnsi="Calibri" w:cs="Calibri"/>
          <w:iCs/>
          <w:kern w:val="0"/>
          <w:sz w:val="20"/>
          <w:szCs w:val="20"/>
          <w:lang w:val="en-US"/>
          <w14:ligatures w14:val="none"/>
        </w:rPr>
      </w:pPr>
      <w:proofErr w:type="spellStart"/>
      <w:r>
        <w:rPr>
          <w:rFonts w:ascii="Calibri" w:eastAsia="Calibri" w:hAnsi="Calibri" w:cs="Calibri"/>
          <w:iCs/>
          <w:kern w:val="0"/>
          <w:sz w:val="20"/>
          <w:szCs w:val="20"/>
          <w14:ligatures w14:val="none"/>
        </w:rPr>
        <w:t>Merleau</w:t>
      </w:r>
      <w:proofErr w:type="spellEnd"/>
      <w:r>
        <w:rPr>
          <w:rFonts w:ascii="Calibri" w:eastAsia="Calibri" w:hAnsi="Calibri" w:cs="Calibri"/>
          <w:iCs/>
          <w:kern w:val="0"/>
          <w:sz w:val="20"/>
          <w:szCs w:val="20"/>
          <w14:ligatures w14:val="none"/>
        </w:rPr>
        <w:t xml:space="preserve">-Ponty, M. (1945): </w:t>
      </w:r>
      <w:proofErr w:type="spellStart"/>
      <w:r>
        <w:rPr>
          <w:rFonts w:ascii="Calibri" w:eastAsia="Calibri" w:hAnsi="Calibri" w:cs="Calibri"/>
          <w:iCs/>
          <w:kern w:val="0"/>
          <w:sz w:val="20"/>
          <w:szCs w:val="20"/>
          <w14:ligatures w14:val="none"/>
        </w:rPr>
        <w:t>Phénoménologie</w:t>
      </w:r>
      <w:proofErr w:type="spellEnd"/>
      <w:r>
        <w:rPr>
          <w:rFonts w:ascii="Calibri" w:eastAsia="Calibri" w:hAnsi="Calibri" w:cs="Calibri"/>
          <w:iCs/>
          <w:kern w:val="0"/>
          <w:sz w:val="20"/>
          <w:szCs w:val="20"/>
          <w14:ligatures w14:val="none"/>
        </w:rPr>
        <w:t xml:space="preserve"> de la </w:t>
      </w:r>
      <w:proofErr w:type="spellStart"/>
      <w:r>
        <w:rPr>
          <w:rFonts w:ascii="Calibri" w:eastAsia="Calibri" w:hAnsi="Calibri" w:cs="Calibri"/>
          <w:iCs/>
          <w:kern w:val="0"/>
          <w:sz w:val="20"/>
          <w:szCs w:val="20"/>
          <w14:ligatures w14:val="none"/>
        </w:rPr>
        <w:t>perception</w:t>
      </w:r>
      <w:proofErr w:type="spellEnd"/>
      <w:r>
        <w:rPr>
          <w:rFonts w:ascii="Calibri" w:eastAsia="Calibri" w:hAnsi="Calibri" w:cs="Calibri"/>
          <w:iCs/>
          <w:kern w:val="0"/>
          <w:sz w:val="20"/>
          <w:szCs w:val="20"/>
          <w14:ligatures w14:val="none"/>
        </w:rPr>
        <w:t xml:space="preserve">; engl. </w:t>
      </w:r>
      <w:r>
        <w:rPr>
          <w:rFonts w:ascii="Calibri" w:eastAsia="Calibri" w:hAnsi="Calibri" w:cs="Calibri"/>
          <w:iCs/>
          <w:kern w:val="0"/>
          <w:sz w:val="20"/>
          <w:szCs w:val="20"/>
          <w:lang w:val="en-US"/>
          <w14:ligatures w14:val="none"/>
        </w:rPr>
        <w:t xml:space="preserve">D. A. </w:t>
      </w:r>
      <w:proofErr w:type="spellStart"/>
      <w:r>
        <w:rPr>
          <w:rFonts w:ascii="Calibri" w:eastAsia="Calibri" w:hAnsi="Calibri" w:cs="Calibri"/>
          <w:iCs/>
          <w:kern w:val="0"/>
          <w:sz w:val="20"/>
          <w:szCs w:val="20"/>
          <w:lang w:val="en-US"/>
          <w14:ligatures w14:val="none"/>
        </w:rPr>
        <w:t>Landes</w:t>
      </w:r>
      <w:proofErr w:type="spellEnd"/>
      <w:r>
        <w:rPr>
          <w:rFonts w:ascii="Calibri" w:eastAsia="Calibri" w:hAnsi="Calibri" w:cs="Calibri"/>
          <w:iCs/>
          <w:kern w:val="0"/>
          <w:sz w:val="20"/>
          <w:szCs w:val="20"/>
          <w:lang w:val="en-US"/>
          <w14:ligatures w14:val="none"/>
        </w:rPr>
        <w:t xml:space="preserve"> (2012). Phenomenology of perception. London &amp; New York: Routledge.</w:t>
      </w:r>
    </w:p>
    <w:sectPr w:rsidR="00126330">
      <w:headerReference w:type="even" r:id="rId7"/>
      <w:headerReference w:type="default" r:id="rId8"/>
      <w:headerReference w:type="first" r:id="rId9"/>
      <w:pgSz w:w="11906" w:h="16838"/>
      <w:pgMar w:top="1417" w:right="850" w:bottom="1134" w:left="1417" w:header="708"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26BF6" w:rsidRDefault="00626BF6">
      <w:pPr>
        <w:spacing w:after="0" w:line="240" w:lineRule="auto"/>
      </w:pPr>
      <w:r>
        <w:separator/>
      </w:r>
    </w:p>
  </w:endnote>
  <w:endnote w:type="continuationSeparator" w:id="0">
    <w:p w:rsidR="00626BF6" w:rsidRDefault="00626B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ACFF"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Times New Roman">
    <w:panose1 w:val="02020603050405020304"/>
    <w:charset w:val="01"/>
    <w:family w:val="roman"/>
    <w:pitch w:val="variable"/>
    <w:sig w:usb0="E0002EFF" w:usb1="C000785B" w:usb2="00000009" w:usb3="00000000" w:csb0="000001FF" w:csb1="00000000"/>
  </w:font>
  <w:font w:name="Carlito">
    <w:altName w:val="Calibri"/>
    <w:panose1 w:val="020B0604020202020204"/>
    <w:charset w:val="01"/>
    <w:family w:val="swiss"/>
    <w:pitch w:val="variable"/>
  </w:font>
  <w:font w:name="Noto Sans SC Regular">
    <w:panose1 w:val="020B0604020202020204"/>
    <w:charset w:val="00"/>
    <w:family w:val="roman"/>
    <w:notTrueType/>
    <w:pitch w:val="default"/>
  </w:font>
  <w:font w:name="Noto Sans">
    <w:panose1 w:val="020B0502040504020204"/>
    <w:charset w:val="00"/>
    <w:family w:val="swiss"/>
    <w:pitch w:val="variable"/>
    <w:sig w:usb0="E00082FF" w:usb1="400078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26BF6" w:rsidRDefault="00626BF6">
      <w:pPr>
        <w:spacing w:after="0" w:line="240" w:lineRule="auto"/>
      </w:pPr>
      <w:r>
        <w:separator/>
      </w:r>
    </w:p>
  </w:footnote>
  <w:footnote w:type="continuationSeparator" w:id="0">
    <w:p w:rsidR="00626BF6" w:rsidRDefault="00626B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26330" w:rsidRDefault="0012633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26330" w:rsidRDefault="00000000">
    <w:pPr>
      <w:pStyle w:val="Kopfzeile"/>
      <w:tabs>
        <w:tab w:val="clear" w:pos="9072"/>
      </w:tabs>
      <w:rPr>
        <w:sz w:val="20"/>
        <w:szCs w:val="20"/>
      </w:rPr>
    </w:pPr>
    <w:r>
      <w:rPr>
        <w:sz w:val="20"/>
        <w:szCs w:val="20"/>
      </w:rPr>
      <w:t xml:space="preserve">Jahrestagung Kommission Pädagogik und Humanistische Psychologie </w:t>
    </w:r>
    <w:r>
      <w:rPr>
        <w:noProof/>
      </w:rPr>
      <w:drawing>
        <wp:inline distT="0" distB="0" distL="0" distR="0">
          <wp:extent cx="1287145" cy="343535"/>
          <wp:effectExtent l="0" t="0" r="0" b="0"/>
          <wp:docPr id="1" name="Picture 7" descr="Ein Bild, das Text, Schrift, weiß,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Ein Bild, das Text, Schrift, weiß, Screenshot enthält.&#10;&#10;KI-generierte Inhalte können fehlerhaft sein."/>
                  <pic:cNvPicPr>
                    <a:picLocks noChangeAspect="1" noChangeArrowheads="1"/>
                  </pic:cNvPicPr>
                </pic:nvPicPr>
                <pic:blipFill>
                  <a:blip r:embed="rId1"/>
                  <a:stretch>
                    <a:fillRect/>
                  </a:stretch>
                </pic:blipFill>
                <pic:spPr bwMode="auto">
                  <a:xfrm>
                    <a:off x="0" y="0"/>
                    <a:ext cx="1287145" cy="343535"/>
                  </a:xfrm>
                  <a:prstGeom prst="rect">
                    <a:avLst/>
                  </a:prstGeom>
                </pic:spPr>
              </pic:pic>
            </a:graphicData>
          </a:graphic>
        </wp:inline>
      </w:drawing>
    </w:r>
    <w:r>
      <w:rPr>
        <w:noProof/>
      </w:rPr>
      <w:drawing>
        <wp:inline distT="0" distB="0" distL="0" distR="0">
          <wp:extent cx="812165" cy="342265"/>
          <wp:effectExtent l="0" t="0" r="0" b="0"/>
          <wp:docPr id="2" name="Grafik 2" descr="Ein Bild, das Text, Schrift, Logo,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Schrift, Logo, Screenshot enthält.&#10;&#10;KI-generierte Inhalte können fehlerhaft sein."/>
                  <pic:cNvPicPr>
                    <a:picLocks noChangeAspect="1" noChangeArrowheads="1"/>
                  </pic:cNvPicPr>
                </pic:nvPicPr>
                <pic:blipFill>
                  <a:blip r:embed="rId2"/>
                  <a:stretch>
                    <a:fillRect/>
                  </a:stretch>
                </pic:blipFill>
                <pic:spPr bwMode="auto">
                  <a:xfrm>
                    <a:off x="0" y="0"/>
                    <a:ext cx="812165" cy="342265"/>
                  </a:xfrm>
                  <a:prstGeom prst="rect">
                    <a:avLst/>
                  </a:prstGeom>
                </pic:spPr>
              </pic:pic>
            </a:graphicData>
          </a:graphic>
        </wp:inline>
      </w:drawing>
    </w:r>
  </w:p>
  <w:p w:rsidR="00126330" w:rsidRDefault="00000000">
    <w:pPr>
      <w:pStyle w:val="Kopfzeile"/>
      <w:rPr>
        <w:sz w:val="20"/>
        <w:szCs w:val="20"/>
      </w:rPr>
    </w:pPr>
    <w:r>
      <w:rPr>
        <w:sz w:val="20"/>
        <w:szCs w:val="20"/>
      </w:rPr>
      <w:t>21./22.11.2025, Pädagogische Hochschule Heidelberg</w:t>
    </w:r>
  </w:p>
  <w:p w:rsidR="00126330" w:rsidRDefault="00126330">
    <w:pPr>
      <w:pStyle w:val="Kopfzeile"/>
      <w:rPr>
        <w:sz w:val="20"/>
        <w:szCs w:val="20"/>
      </w:rPr>
    </w:pPr>
  </w:p>
  <w:p w:rsidR="00126330" w:rsidRDefault="00000000">
    <w:pPr>
      <w:pStyle w:val="Kopfzeile"/>
      <w:rPr>
        <w:b/>
        <w:bCs/>
        <w:sz w:val="20"/>
        <w:szCs w:val="20"/>
      </w:rPr>
    </w:pPr>
    <w:r>
      <w:rPr>
        <w:b/>
        <w:bCs/>
        <w:sz w:val="20"/>
        <w:szCs w:val="20"/>
      </w:rPr>
      <w:t xml:space="preserve">„Pädagogik der Anwesenden?“ </w:t>
    </w:r>
  </w:p>
  <w:p w:rsidR="00126330" w:rsidRDefault="00000000">
    <w:pPr>
      <w:pStyle w:val="Kopfzeile"/>
      <w:rPr>
        <w:b/>
        <w:bCs/>
        <w:sz w:val="20"/>
        <w:szCs w:val="20"/>
      </w:rPr>
    </w:pPr>
    <w:r>
      <w:rPr>
        <w:b/>
        <w:bCs/>
        <w:sz w:val="20"/>
        <w:szCs w:val="20"/>
      </w:rPr>
      <w:t>Körper – Bildung – Begegnung in Zeiten komplexen gesellschaftlichen Wandels</w:t>
    </w:r>
  </w:p>
  <w:p w:rsidR="00126330" w:rsidRDefault="00126330">
    <w:pPr>
      <w:pStyle w:val="Kopfzeile"/>
      <w:tabs>
        <w:tab w:val="clear" w:pos="9072"/>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26330" w:rsidRDefault="00000000">
    <w:pPr>
      <w:pStyle w:val="Kopfzeile"/>
      <w:tabs>
        <w:tab w:val="clear" w:pos="9072"/>
      </w:tabs>
      <w:rPr>
        <w:sz w:val="20"/>
        <w:szCs w:val="20"/>
      </w:rPr>
    </w:pPr>
    <w:r>
      <w:rPr>
        <w:sz w:val="20"/>
        <w:szCs w:val="20"/>
      </w:rPr>
      <w:t xml:space="preserve">Jahrestagung Kommission Pädagogik und Humanistische Psychologie </w:t>
    </w:r>
    <w:r>
      <w:rPr>
        <w:noProof/>
      </w:rPr>
      <w:drawing>
        <wp:inline distT="0" distB="0" distL="0" distR="0">
          <wp:extent cx="1287145" cy="343535"/>
          <wp:effectExtent l="0" t="0" r="0" b="0"/>
          <wp:docPr id="3" name="Picture 7" descr="Ein Bild, das Text, Schrift, weiß,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Ein Bild, das Text, Schrift, weiß, Screenshot enthält.&#10;&#10;KI-generierte Inhalte können fehlerhaft sein."/>
                  <pic:cNvPicPr>
                    <a:picLocks noChangeAspect="1" noChangeArrowheads="1"/>
                  </pic:cNvPicPr>
                </pic:nvPicPr>
                <pic:blipFill>
                  <a:blip r:embed="rId1"/>
                  <a:stretch>
                    <a:fillRect/>
                  </a:stretch>
                </pic:blipFill>
                <pic:spPr bwMode="auto">
                  <a:xfrm>
                    <a:off x="0" y="0"/>
                    <a:ext cx="1287145" cy="343535"/>
                  </a:xfrm>
                  <a:prstGeom prst="rect">
                    <a:avLst/>
                  </a:prstGeom>
                </pic:spPr>
              </pic:pic>
            </a:graphicData>
          </a:graphic>
        </wp:inline>
      </w:drawing>
    </w:r>
    <w:r>
      <w:rPr>
        <w:noProof/>
      </w:rPr>
      <w:drawing>
        <wp:inline distT="0" distB="0" distL="0" distR="0">
          <wp:extent cx="812165" cy="342265"/>
          <wp:effectExtent l="0" t="0" r="0" b="0"/>
          <wp:docPr id="4" name="Grafik 2" descr="Ein Bild, das Text, Schrift, Logo,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2" descr="Ein Bild, das Text, Schrift, Logo, Screenshot enthält.&#10;&#10;KI-generierte Inhalte können fehlerhaft sein."/>
                  <pic:cNvPicPr>
                    <a:picLocks noChangeAspect="1" noChangeArrowheads="1"/>
                  </pic:cNvPicPr>
                </pic:nvPicPr>
                <pic:blipFill>
                  <a:blip r:embed="rId2"/>
                  <a:stretch>
                    <a:fillRect/>
                  </a:stretch>
                </pic:blipFill>
                <pic:spPr bwMode="auto">
                  <a:xfrm>
                    <a:off x="0" y="0"/>
                    <a:ext cx="812165" cy="342265"/>
                  </a:xfrm>
                  <a:prstGeom prst="rect">
                    <a:avLst/>
                  </a:prstGeom>
                </pic:spPr>
              </pic:pic>
            </a:graphicData>
          </a:graphic>
        </wp:inline>
      </w:drawing>
    </w:r>
  </w:p>
  <w:p w:rsidR="00126330" w:rsidRDefault="00000000">
    <w:pPr>
      <w:pStyle w:val="Kopfzeile"/>
      <w:rPr>
        <w:sz w:val="20"/>
        <w:szCs w:val="20"/>
      </w:rPr>
    </w:pPr>
    <w:r>
      <w:rPr>
        <w:sz w:val="20"/>
        <w:szCs w:val="20"/>
      </w:rPr>
      <w:t>21./22.11.2025, Pädagogische Hochschule Heidelberg</w:t>
    </w:r>
  </w:p>
  <w:p w:rsidR="00126330" w:rsidRDefault="00126330">
    <w:pPr>
      <w:pStyle w:val="Kopfzeile"/>
      <w:rPr>
        <w:sz w:val="20"/>
        <w:szCs w:val="20"/>
      </w:rPr>
    </w:pPr>
  </w:p>
  <w:p w:rsidR="00126330" w:rsidRDefault="00000000">
    <w:pPr>
      <w:pStyle w:val="Kopfzeile"/>
      <w:rPr>
        <w:b/>
        <w:bCs/>
        <w:sz w:val="20"/>
        <w:szCs w:val="20"/>
      </w:rPr>
    </w:pPr>
    <w:r>
      <w:rPr>
        <w:b/>
        <w:bCs/>
        <w:sz w:val="20"/>
        <w:szCs w:val="20"/>
      </w:rPr>
      <w:t xml:space="preserve">„Pädagogik der Anwesenden?“ </w:t>
    </w:r>
  </w:p>
  <w:p w:rsidR="00126330" w:rsidRDefault="00000000">
    <w:pPr>
      <w:pStyle w:val="Kopfzeile"/>
      <w:rPr>
        <w:b/>
        <w:bCs/>
        <w:sz w:val="20"/>
        <w:szCs w:val="20"/>
      </w:rPr>
    </w:pPr>
    <w:r>
      <w:rPr>
        <w:b/>
        <w:bCs/>
        <w:sz w:val="20"/>
        <w:szCs w:val="20"/>
      </w:rPr>
      <w:t>Körper – Bildung – Begegnung in Zeiten komplexen gesellschaftlichen Wandels</w:t>
    </w:r>
  </w:p>
  <w:p w:rsidR="00126330" w:rsidRDefault="00126330">
    <w:pPr>
      <w:pStyle w:val="Kopfzeile"/>
      <w:tabs>
        <w:tab w:val="clear" w:pos="9072"/>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4"/>
  <w:proofState w:spelling="clean" w:grammar="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330"/>
    <w:rsid w:val="000A6CFC"/>
    <w:rsid w:val="00126330"/>
    <w:rsid w:val="003C7C05"/>
    <w:rsid w:val="00626BF6"/>
    <w:rsid w:val="009122D5"/>
    <w:rsid w:val="009F0204"/>
    <w:rsid w:val="00E70E56"/>
    <w:rsid w:val="00F93843"/>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1B5065F2"/>
  <w15:docId w15:val="{9592C765-ECDA-9A46-9081-4E34084E9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2"/>
        <w:szCs w:val="24"/>
        <w:lang w:val="de-DE"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360" w:lineRule="auto"/>
    </w:pPr>
  </w:style>
  <w:style w:type="paragraph" w:styleId="berschrift1">
    <w:name w:val="heading 1"/>
    <w:basedOn w:val="Standard"/>
    <w:next w:val="Standard"/>
    <w:link w:val="berschrift1Zchn"/>
    <w:uiPriority w:val="9"/>
    <w:qFormat/>
    <w:rsid w:val="00F93843"/>
    <w:pPr>
      <w:keepNext/>
      <w:keepLines/>
      <w:spacing w:before="360" w:after="80" w:line="240" w:lineRule="auto"/>
      <w:outlineLvl w:val="0"/>
    </w:pPr>
    <w:rPr>
      <w:rFonts w:ascii="Calibri" w:eastAsiaTheme="majorEastAsia" w:hAnsi="Calibri" w:cstheme="majorBidi"/>
      <w:b/>
      <w:color w:val="0F4761" w:themeColor="accent1" w:themeShade="BF"/>
      <w:sz w:val="28"/>
      <w:szCs w:val="40"/>
    </w:rPr>
  </w:style>
  <w:style w:type="paragraph" w:styleId="berschrift2">
    <w:name w:val="heading 2"/>
    <w:basedOn w:val="Standard"/>
    <w:next w:val="Standard"/>
    <w:link w:val="berschrift2Zchn"/>
    <w:uiPriority w:val="9"/>
    <w:semiHidden/>
    <w:unhideWhenUsed/>
    <w:qFormat/>
    <w:rsid w:val="00F608C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F608C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F608C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F608CC"/>
    <w:pPr>
      <w:keepNext/>
      <w:keepLines/>
      <w:spacing w:before="80" w:after="40"/>
      <w:outlineLvl w:val="4"/>
    </w:pPr>
    <w:rPr>
      <w:rFonts w:asciiTheme="minorHAnsi" w:eastAsiaTheme="majorEastAsia" w:hAnsiTheme="minorHAnsi" w:cstheme="majorBidi"/>
      <w:color w:val="0F4761" w:themeColor="accent1" w:themeShade="BF"/>
    </w:rPr>
  </w:style>
  <w:style w:type="paragraph" w:styleId="berschrift6">
    <w:name w:val="heading 6"/>
    <w:basedOn w:val="Standard"/>
    <w:next w:val="Standard"/>
    <w:link w:val="berschrift6Zchn"/>
    <w:uiPriority w:val="9"/>
    <w:semiHidden/>
    <w:unhideWhenUsed/>
    <w:qFormat/>
    <w:rsid w:val="00F608CC"/>
    <w:pPr>
      <w:keepNext/>
      <w:keepLines/>
      <w:spacing w:before="40" w:after="0"/>
      <w:outlineLvl w:val="5"/>
    </w:pPr>
    <w:rPr>
      <w:rFonts w:asciiTheme="minorHAnsi" w:eastAsiaTheme="majorEastAsia" w:hAnsiTheme="minorHAnsi"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F608CC"/>
    <w:pPr>
      <w:keepNext/>
      <w:keepLines/>
      <w:spacing w:before="40" w:after="0"/>
      <w:outlineLvl w:val="6"/>
    </w:pPr>
    <w:rPr>
      <w:rFonts w:asciiTheme="minorHAnsi" w:eastAsiaTheme="majorEastAsia" w:hAnsiTheme="minorHAnsi" w:cstheme="majorBidi"/>
      <w:color w:val="595959" w:themeColor="text1" w:themeTint="A6"/>
    </w:rPr>
  </w:style>
  <w:style w:type="paragraph" w:styleId="berschrift8">
    <w:name w:val="heading 8"/>
    <w:basedOn w:val="Standard"/>
    <w:next w:val="Standard"/>
    <w:link w:val="berschrift8Zchn"/>
    <w:uiPriority w:val="9"/>
    <w:semiHidden/>
    <w:unhideWhenUsed/>
    <w:qFormat/>
    <w:rsid w:val="00F608CC"/>
    <w:pPr>
      <w:keepNext/>
      <w:keepLines/>
      <w:spacing w:after="0"/>
      <w:outlineLvl w:val="7"/>
    </w:pPr>
    <w:rPr>
      <w:rFonts w:asciiTheme="minorHAnsi" w:eastAsiaTheme="majorEastAsia" w:hAnsiTheme="minorHAnsi"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F608CC"/>
    <w:pPr>
      <w:keepNext/>
      <w:keepLines/>
      <w:spacing w:after="0"/>
      <w:outlineLvl w:val="8"/>
    </w:pPr>
    <w:rPr>
      <w:rFonts w:asciiTheme="minorHAnsi" w:eastAsiaTheme="majorEastAsia" w:hAnsiTheme="minorHAnsi"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qFormat/>
    <w:rsid w:val="00F93843"/>
    <w:rPr>
      <w:rFonts w:ascii="Calibri" w:eastAsiaTheme="majorEastAsia" w:hAnsi="Calibri" w:cstheme="majorBidi"/>
      <w:b/>
      <w:color w:val="0F4761" w:themeColor="accent1" w:themeShade="BF"/>
      <w:sz w:val="28"/>
      <w:szCs w:val="40"/>
    </w:rPr>
  </w:style>
  <w:style w:type="character" w:customStyle="1" w:styleId="berschrift2Zchn">
    <w:name w:val="Überschrift 2 Zchn"/>
    <w:basedOn w:val="Absatz-Standardschriftart"/>
    <w:link w:val="berschrift2"/>
    <w:uiPriority w:val="9"/>
    <w:semiHidden/>
    <w:qFormat/>
    <w:rsid w:val="00F608CC"/>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qFormat/>
    <w:rsid w:val="00F608CC"/>
    <w:rPr>
      <w:rFonts w:asciiTheme="minorHAnsi" w:eastAsiaTheme="majorEastAsia" w:hAnsiTheme="minorHAnsi"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qFormat/>
    <w:rsid w:val="00F608CC"/>
    <w:rPr>
      <w:rFonts w:asciiTheme="minorHAnsi" w:eastAsiaTheme="majorEastAsia" w:hAnsiTheme="minorHAnsi" w:cstheme="majorBidi"/>
      <w:i/>
      <w:iCs/>
      <w:color w:val="0F4761" w:themeColor="accent1" w:themeShade="BF"/>
    </w:rPr>
  </w:style>
  <w:style w:type="character" w:customStyle="1" w:styleId="berschrift5Zchn">
    <w:name w:val="Überschrift 5 Zchn"/>
    <w:basedOn w:val="Absatz-Standardschriftart"/>
    <w:link w:val="berschrift5"/>
    <w:uiPriority w:val="9"/>
    <w:semiHidden/>
    <w:qFormat/>
    <w:rsid w:val="00F608CC"/>
    <w:rPr>
      <w:rFonts w:asciiTheme="minorHAnsi" w:eastAsiaTheme="majorEastAsia" w:hAnsiTheme="minorHAnsi" w:cstheme="majorBidi"/>
      <w:color w:val="0F4761" w:themeColor="accent1" w:themeShade="BF"/>
    </w:rPr>
  </w:style>
  <w:style w:type="character" w:customStyle="1" w:styleId="berschrift6Zchn">
    <w:name w:val="Überschrift 6 Zchn"/>
    <w:basedOn w:val="Absatz-Standardschriftart"/>
    <w:link w:val="berschrift6"/>
    <w:uiPriority w:val="9"/>
    <w:semiHidden/>
    <w:qFormat/>
    <w:rsid w:val="00F608CC"/>
    <w:rPr>
      <w:rFonts w:asciiTheme="minorHAnsi" w:eastAsiaTheme="majorEastAsia" w:hAnsiTheme="minorHAnsi" w:cstheme="majorBidi"/>
      <w:i/>
      <w:iCs/>
      <w:color w:val="595959" w:themeColor="text1" w:themeTint="A6"/>
    </w:rPr>
  </w:style>
  <w:style w:type="character" w:customStyle="1" w:styleId="berschrift7Zchn">
    <w:name w:val="Überschrift 7 Zchn"/>
    <w:basedOn w:val="Absatz-Standardschriftart"/>
    <w:link w:val="berschrift7"/>
    <w:uiPriority w:val="9"/>
    <w:semiHidden/>
    <w:qFormat/>
    <w:rsid w:val="00F608CC"/>
    <w:rPr>
      <w:rFonts w:asciiTheme="minorHAnsi" w:eastAsiaTheme="majorEastAsia" w:hAnsiTheme="minorHAnsi" w:cstheme="majorBidi"/>
      <w:color w:val="595959" w:themeColor="text1" w:themeTint="A6"/>
    </w:rPr>
  </w:style>
  <w:style w:type="character" w:customStyle="1" w:styleId="berschrift8Zchn">
    <w:name w:val="Überschrift 8 Zchn"/>
    <w:basedOn w:val="Absatz-Standardschriftart"/>
    <w:link w:val="berschrift8"/>
    <w:uiPriority w:val="9"/>
    <w:semiHidden/>
    <w:qFormat/>
    <w:rsid w:val="00F608CC"/>
    <w:rPr>
      <w:rFonts w:asciiTheme="minorHAnsi" w:eastAsiaTheme="majorEastAsia" w:hAnsiTheme="minorHAnsi" w:cstheme="majorBidi"/>
      <w:i/>
      <w:iCs/>
      <w:color w:val="272727" w:themeColor="text1" w:themeTint="D8"/>
    </w:rPr>
  </w:style>
  <w:style w:type="character" w:customStyle="1" w:styleId="berschrift9Zchn">
    <w:name w:val="Überschrift 9 Zchn"/>
    <w:basedOn w:val="Absatz-Standardschriftart"/>
    <w:link w:val="berschrift9"/>
    <w:uiPriority w:val="9"/>
    <w:semiHidden/>
    <w:qFormat/>
    <w:rsid w:val="00F608CC"/>
    <w:rPr>
      <w:rFonts w:asciiTheme="minorHAnsi" w:eastAsiaTheme="majorEastAsia" w:hAnsiTheme="minorHAnsi" w:cstheme="majorBidi"/>
      <w:color w:val="272727" w:themeColor="text1" w:themeTint="D8"/>
    </w:rPr>
  </w:style>
  <w:style w:type="character" w:customStyle="1" w:styleId="TitelZchn">
    <w:name w:val="Titel Zchn"/>
    <w:basedOn w:val="Absatz-Standardschriftart"/>
    <w:link w:val="Titel"/>
    <w:uiPriority w:val="10"/>
    <w:qFormat/>
    <w:rsid w:val="00F608CC"/>
    <w:rPr>
      <w:rFonts w:asciiTheme="majorHAnsi" w:eastAsiaTheme="majorEastAsia" w:hAnsiTheme="majorHAnsi" w:cstheme="majorBidi"/>
      <w:spacing w:val="-10"/>
      <w:kern w:val="2"/>
      <w:sz w:val="56"/>
      <w:szCs w:val="56"/>
    </w:rPr>
  </w:style>
  <w:style w:type="character" w:customStyle="1" w:styleId="UntertitelZchn">
    <w:name w:val="Untertitel Zchn"/>
    <w:basedOn w:val="Absatz-Standardschriftart"/>
    <w:link w:val="Untertitel"/>
    <w:uiPriority w:val="11"/>
    <w:qFormat/>
    <w:rsid w:val="00F608CC"/>
    <w:rPr>
      <w:rFonts w:asciiTheme="minorHAnsi" w:eastAsiaTheme="majorEastAsia" w:hAnsiTheme="minorHAnsi" w:cstheme="majorBidi"/>
      <w:color w:val="595959" w:themeColor="text1" w:themeTint="A6"/>
      <w:spacing w:val="15"/>
      <w:sz w:val="28"/>
      <w:szCs w:val="28"/>
    </w:rPr>
  </w:style>
  <w:style w:type="character" w:customStyle="1" w:styleId="ZitatZchn">
    <w:name w:val="Zitat Zchn"/>
    <w:basedOn w:val="Absatz-Standardschriftart"/>
    <w:link w:val="Zitat"/>
    <w:uiPriority w:val="29"/>
    <w:qFormat/>
    <w:rsid w:val="00F608CC"/>
    <w:rPr>
      <w:i/>
      <w:iCs/>
      <w:color w:val="404040" w:themeColor="text1" w:themeTint="BF"/>
    </w:rPr>
  </w:style>
  <w:style w:type="character" w:styleId="IntensiveHervorhebung">
    <w:name w:val="Intense Emphasis"/>
    <w:basedOn w:val="Absatz-Standardschriftart"/>
    <w:uiPriority w:val="21"/>
    <w:qFormat/>
    <w:rsid w:val="00F608CC"/>
    <w:rPr>
      <w:i/>
      <w:iCs/>
      <w:color w:val="0F4761" w:themeColor="accent1" w:themeShade="BF"/>
    </w:rPr>
  </w:style>
  <w:style w:type="character" w:customStyle="1" w:styleId="IntensivesZitatZchn">
    <w:name w:val="Intensives Zitat Zchn"/>
    <w:basedOn w:val="Absatz-Standardschriftart"/>
    <w:link w:val="IntensivesZitat"/>
    <w:uiPriority w:val="30"/>
    <w:qFormat/>
    <w:rsid w:val="00F608CC"/>
    <w:rPr>
      <w:i/>
      <w:iCs/>
      <w:color w:val="0F4761" w:themeColor="accent1" w:themeShade="BF"/>
    </w:rPr>
  </w:style>
  <w:style w:type="character" w:styleId="IntensiverVerweis">
    <w:name w:val="Intense Reference"/>
    <w:basedOn w:val="Absatz-Standardschriftart"/>
    <w:uiPriority w:val="32"/>
    <w:qFormat/>
    <w:rsid w:val="00F608CC"/>
    <w:rPr>
      <w:b/>
      <w:bCs/>
      <w:smallCaps/>
      <w:color w:val="0F4761" w:themeColor="accent1" w:themeShade="BF"/>
      <w:spacing w:val="5"/>
    </w:rPr>
  </w:style>
  <w:style w:type="character" w:customStyle="1" w:styleId="KopfzeileZchn">
    <w:name w:val="Kopfzeile Zchn"/>
    <w:basedOn w:val="Absatz-Standardschriftart"/>
    <w:link w:val="Kopfzeile"/>
    <w:uiPriority w:val="99"/>
    <w:qFormat/>
    <w:rsid w:val="00F608CC"/>
  </w:style>
  <w:style w:type="character" w:customStyle="1" w:styleId="FuzeileZchn">
    <w:name w:val="Fußzeile Zchn"/>
    <w:basedOn w:val="Absatz-Standardschriftart"/>
    <w:link w:val="Fuzeile"/>
    <w:uiPriority w:val="99"/>
    <w:qFormat/>
    <w:rsid w:val="00F608CC"/>
  </w:style>
  <w:style w:type="character" w:customStyle="1" w:styleId="FunotentextZchn">
    <w:name w:val="Fußnotentext Zchn"/>
    <w:basedOn w:val="Absatz-Standardschriftart"/>
    <w:link w:val="Funotentext"/>
    <w:uiPriority w:val="99"/>
    <w:semiHidden/>
    <w:qFormat/>
    <w:rsid w:val="00F608CC"/>
    <w:rPr>
      <w:sz w:val="20"/>
      <w:szCs w:val="20"/>
    </w:rPr>
  </w:style>
  <w:style w:type="character" w:styleId="Funotenzeichen">
    <w:name w:val="footnote reference"/>
    <w:rPr>
      <w:vertAlign w:val="superscript"/>
    </w:rPr>
  </w:style>
  <w:style w:type="character" w:styleId="Hyperlink">
    <w:name w:val="Hyperlink"/>
    <w:basedOn w:val="Absatz-Standardschriftart"/>
    <w:uiPriority w:val="99"/>
    <w:unhideWhenUsed/>
    <w:rsid w:val="00F608CC"/>
    <w:rPr>
      <w:color w:val="467886" w:themeColor="hyperlink"/>
      <w:u w:val="single"/>
    </w:rPr>
  </w:style>
  <w:style w:type="character" w:styleId="NichtaufgelsteErwhnung">
    <w:name w:val="Unresolved Mention"/>
    <w:basedOn w:val="Absatz-Standardschriftart"/>
    <w:uiPriority w:val="99"/>
    <w:semiHidden/>
    <w:unhideWhenUsed/>
    <w:qFormat/>
    <w:rsid w:val="00F608CC"/>
    <w:rPr>
      <w:color w:val="605E5C"/>
      <w:shd w:val="clear" w:color="auto" w:fill="E1DFDD"/>
    </w:rPr>
  </w:style>
  <w:style w:type="paragraph" w:customStyle="1" w:styleId="berschrift">
    <w:name w:val="Überschrift"/>
    <w:basedOn w:val="Standard"/>
    <w:next w:val="Textkrper"/>
    <w:qFormat/>
    <w:pPr>
      <w:keepNext/>
      <w:spacing w:before="240" w:after="120"/>
    </w:pPr>
    <w:rPr>
      <w:rFonts w:ascii="Carlito" w:eastAsia="Noto Sans SC Regular" w:hAnsi="Carlito" w:cs="Noto Sans"/>
      <w:sz w:val="28"/>
      <w:szCs w:val="28"/>
    </w:rPr>
  </w:style>
  <w:style w:type="paragraph" w:styleId="Textkrper">
    <w:name w:val="Body Text"/>
    <w:basedOn w:val="Standard"/>
    <w:pPr>
      <w:spacing w:after="140" w:line="276" w:lineRule="auto"/>
    </w:pPr>
  </w:style>
  <w:style w:type="paragraph" w:styleId="Liste">
    <w:name w:val="List"/>
    <w:basedOn w:val="Textkrper"/>
    <w:rPr>
      <w:rFonts w:cs="Noto Sans"/>
    </w:rPr>
  </w:style>
  <w:style w:type="paragraph" w:styleId="Beschriftung">
    <w:name w:val="caption"/>
    <w:basedOn w:val="Standard"/>
    <w:qFormat/>
    <w:pPr>
      <w:suppressLineNumbers/>
      <w:spacing w:before="120" w:after="120"/>
    </w:pPr>
    <w:rPr>
      <w:rFonts w:cs="Noto Sans"/>
      <w:i/>
      <w:iCs/>
      <w:sz w:val="24"/>
    </w:rPr>
  </w:style>
  <w:style w:type="paragraph" w:customStyle="1" w:styleId="Verzeichnis">
    <w:name w:val="Verzeichnis"/>
    <w:basedOn w:val="Standard"/>
    <w:qFormat/>
    <w:pPr>
      <w:suppressLineNumbers/>
    </w:pPr>
    <w:rPr>
      <w:rFonts w:cs="Noto Sans"/>
    </w:rPr>
  </w:style>
  <w:style w:type="paragraph" w:styleId="Titel">
    <w:name w:val="Title"/>
    <w:basedOn w:val="Standard"/>
    <w:next w:val="Standard"/>
    <w:link w:val="TitelZchn"/>
    <w:uiPriority w:val="10"/>
    <w:qFormat/>
    <w:rsid w:val="00F608CC"/>
    <w:pPr>
      <w:spacing w:after="80" w:line="240" w:lineRule="auto"/>
      <w:contextualSpacing/>
    </w:pPr>
    <w:rPr>
      <w:rFonts w:asciiTheme="majorHAnsi" w:eastAsiaTheme="majorEastAsia" w:hAnsiTheme="majorHAnsi" w:cstheme="majorBidi"/>
      <w:spacing w:val="-10"/>
      <w:sz w:val="56"/>
      <w:szCs w:val="56"/>
    </w:rPr>
  </w:style>
  <w:style w:type="paragraph" w:styleId="Untertitel">
    <w:name w:val="Subtitle"/>
    <w:basedOn w:val="Standard"/>
    <w:next w:val="Standard"/>
    <w:link w:val="UntertitelZchn"/>
    <w:uiPriority w:val="11"/>
    <w:qFormat/>
    <w:rsid w:val="00F608CC"/>
    <w:rPr>
      <w:rFonts w:asciiTheme="minorHAnsi" w:eastAsiaTheme="majorEastAsia" w:hAnsiTheme="minorHAnsi" w:cstheme="majorBidi"/>
      <w:color w:val="595959" w:themeColor="text1" w:themeTint="A6"/>
      <w:spacing w:val="15"/>
      <w:sz w:val="28"/>
      <w:szCs w:val="28"/>
    </w:rPr>
  </w:style>
  <w:style w:type="paragraph" w:styleId="Zitat">
    <w:name w:val="Quote"/>
    <w:basedOn w:val="Standard"/>
    <w:next w:val="Standard"/>
    <w:link w:val="ZitatZchn"/>
    <w:uiPriority w:val="29"/>
    <w:qFormat/>
    <w:rsid w:val="00F608CC"/>
    <w:pPr>
      <w:spacing w:before="160"/>
      <w:jc w:val="center"/>
    </w:pPr>
    <w:rPr>
      <w:i/>
      <w:iCs/>
      <w:color w:val="404040" w:themeColor="text1" w:themeTint="BF"/>
    </w:rPr>
  </w:style>
  <w:style w:type="paragraph" w:styleId="Listenabsatz">
    <w:name w:val="List Paragraph"/>
    <w:basedOn w:val="Standard"/>
    <w:uiPriority w:val="34"/>
    <w:qFormat/>
    <w:rsid w:val="00F608CC"/>
    <w:pPr>
      <w:ind w:left="720"/>
      <w:contextualSpacing/>
    </w:pPr>
  </w:style>
  <w:style w:type="paragraph" w:styleId="IntensivesZitat">
    <w:name w:val="Intense Quote"/>
    <w:basedOn w:val="Standard"/>
    <w:next w:val="Standard"/>
    <w:link w:val="IntensivesZitatZchn"/>
    <w:uiPriority w:val="30"/>
    <w:qFormat/>
    <w:rsid w:val="00F608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paragraph" w:customStyle="1" w:styleId="Kopf-Fuzeile">
    <w:name w:val="Kopf-/Fußzeile"/>
    <w:basedOn w:val="Standard"/>
    <w:qFormat/>
  </w:style>
  <w:style w:type="paragraph" w:styleId="Kopfzeile">
    <w:name w:val="header"/>
    <w:basedOn w:val="Standard"/>
    <w:link w:val="KopfzeileZchn"/>
    <w:uiPriority w:val="99"/>
    <w:unhideWhenUsed/>
    <w:rsid w:val="00F608CC"/>
    <w:pPr>
      <w:tabs>
        <w:tab w:val="center" w:pos="4536"/>
        <w:tab w:val="right" w:pos="9072"/>
      </w:tabs>
      <w:spacing w:after="0" w:line="240" w:lineRule="auto"/>
    </w:pPr>
  </w:style>
  <w:style w:type="paragraph" w:styleId="Fuzeile">
    <w:name w:val="footer"/>
    <w:basedOn w:val="Standard"/>
    <w:link w:val="FuzeileZchn"/>
    <w:uiPriority w:val="99"/>
    <w:unhideWhenUsed/>
    <w:rsid w:val="00F608CC"/>
    <w:pPr>
      <w:tabs>
        <w:tab w:val="center" w:pos="4536"/>
        <w:tab w:val="right" w:pos="9072"/>
      </w:tabs>
      <w:spacing w:after="0" w:line="240" w:lineRule="auto"/>
    </w:pPr>
  </w:style>
  <w:style w:type="paragraph" w:styleId="Funotentext">
    <w:name w:val="footnote text"/>
    <w:basedOn w:val="Standard"/>
    <w:link w:val="FunotentextZchn"/>
    <w:uiPriority w:val="99"/>
    <w:semiHidden/>
    <w:unhideWhenUsed/>
    <w:rsid w:val="00F608CC"/>
    <w:pPr>
      <w:spacing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sycnet.apa.org/doi/10.1037/h0048666"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majorFont>
      <a:minorFont>
        <a:latin typeface="Aptos" panose="0211000402020202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443</Words>
  <Characters>3208</Characters>
  <Application>Microsoft Office Word</Application>
  <DocSecurity>0</DocSecurity>
  <Lines>62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 Dr. Thorsten Suehlsen</dc:creator>
  <dc:description/>
  <cp:lastModifiedBy>Ulrike Dr. Graf</cp:lastModifiedBy>
  <cp:revision>4</cp:revision>
  <dcterms:created xsi:type="dcterms:W3CDTF">2025-06-26T11:39:00Z</dcterms:created>
  <dcterms:modified xsi:type="dcterms:W3CDTF">2025-06-26T11:41:00Z</dcterms:modified>
  <dc:language>de-DE</dc:language>
</cp:coreProperties>
</file>