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1B0D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571B0D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571B0D" w:rsidRPr="00517F9B" w:rsidRDefault="00000000" w:rsidP="00517F9B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571B0D" w:rsidRDefault="00000000">
      <w:pPr>
        <w:pStyle w:val="berschrift1"/>
        <w:rPr>
          <w:b w:val="0"/>
        </w:rPr>
      </w:pPr>
      <w:r>
        <w:t>Körperbezogene Selbstbestimmung in hochschulischen Lehr-Lern-Settings</w:t>
      </w:r>
    </w:p>
    <w:p w:rsidR="00571B0D" w:rsidRDefault="00571B0D">
      <w:pPr>
        <w:rPr>
          <w:b/>
          <w:bCs/>
        </w:rPr>
      </w:pPr>
    </w:p>
    <w:p w:rsidR="00517F9B" w:rsidRDefault="00517F9B">
      <w:pPr>
        <w:rPr>
          <w:b/>
          <w:bCs/>
        </w:rPr>
      </w:pPr>
    </w:p>
    <w:p w:rsidR="00571B0D" w:rsidRDefault="00000000">
      <w:r>
        <w:t>Charlotte Xavier, PH Heidelberg</w:t>
      </w:r>
    </w:p>
    <w:p w:rsidR="00571B0D" w:rsidRDefault="00571B0D"/>
    <w:p w:rsidR="00571B0D" w:rsidRDefault="00571B0D">
      <w:pPr>
        <w:rPr>
          <w:b/>
          <w:bCs/>
        </w:rPr>
      </w:pPr>
    </w:p>
    <w:p w:rsidR="00571B0D" w:rsidRDefault="00000000">
      <w:pPr>
        <w:rPr>
          <w:b/>
          <w:bCs/>
        </w:rPr>
      </w:pPr>
      <w:r>
        <w:rPr>
          <w:b/>
          <w:bCs/>
        </w:rPr>
        <w:t>Beitragsart: Poster</w:t>
      </w:r>
    </w:p>
    <w:p w:rsidR="00571B0D" w:rsidRDefault="00571B0D">
      <w:pPr>
        <w:rPr>
          <w:i/>
        </w:rPr>
      </w:pPr>
    </w:p>
    <w:p w:rsidR="00571B0D" w:rsidRDefault="00571B0D">
      <w:pPr>
        <w:rPr>
          <w:i/>
        </w:rPr>
      </w:pPr>
    </w:p>
    <w:p w:rsidR="00571B0D" w:rsidRDefault="00000000">
      <w:pPr>
        <w:jc w:val="both"/>
      </w:pPr>
      <w:r>
        <w:rPr>
          <w:i/>
          <w:iCs/>
        </w:rPr>
        <w:t>Körperbezogene Selbstbestimmung als Dimension einer Pädagogik der Anwesenden</w:t>
      </w:r>
    </w:p>
    <w:p w:rsidR="00571B0D" w:rsidRDefault="00000000">
      <w:pPr>
        <w:jc w:val="both"/>
      </w:pPr>
      <w:r>
        <w:t xml:space="preserve">In einer Zeit digitaler Umbrüche und gesellschaftlichen Wandels gewinnt die Frage nach der Rolle des Körpers in Bildungsprozessen neue Relevanz (Knapp &amp; Giese, 2024; Schäfer &amp; Häußler, 2024). Während klassische didaktische Ansätze vorwiegend kognitive Prozesse betonen (Klieme &amp; </w:t>
      </w:r>
      <w:proofErr w:type="spellStart"/>
      <w:r>
        <w:t>Rakoczy</w:t>
      </w:r>
      <w:proofErr w:type="spellEnd"/>
      <w:r>
        <w:t>, 2008), bleibt der Körper als Bildungsdimension oft unberücksichtigt. Das vorgestellte Forschungsvorhaben rückt körperbezogene Selbstbestimmung als wesentliches Moment von Lehr-Lern-Kulturen (Esslinger-Hinz, 2021) in den Mittelpunkt (Xavier, 2024). Mit Hilfe eines Fragebogeninstruments (n = 709) wird das körperbezogene Selbstbestimmungserleben von Studierenden in Präsenz- und Onlinelehrsettings erhoben. Die Ergebnisse liefern Impulse für eine Pädagogik der Anwesenden, die Körperlichkeit, Selbstbestimmung und Begegnung auch im digitalen Raum didaktisch fruchtbar machen kann.</w:t>
      </w:r>
    </w:p>
    <w:p w:rsidR="00571B0D" w:rsidRDefault="00571B0D">
      <w:pPr>
        <w:jc w:val="both"/>
      </w:pPr>
    </w:p>
    <w:p w:rsidR="00571B0D" w:rsidRDefault="00571B0D">
      <w:pPr>
        <w:jc w:val="both"/>
      </w:pPr>
    </w:p>
    <w:p w:rsidR="00571B0D" w:rsidRDefault="00000000">
      <w:pPr>
        <w:jc w:val="both"/>
      </w:pPr>
      <w:r>
        <w:t xml:space="preserve">Literatur </w:t>
      </w:r>
    </w:p>
    <w:p w:rsidR="00571B0D" w:rsidRDefault="00571B0D">
      <w:pPr>
        <w:jc w:val="both"/>
      </w:pPr>
    </w:p>
    <w:p w:rsidR="00571B0D" w:rsidRPr="003E541C" w:rsidRDefault="00000000" w:rsidP="003E541C">
      <w:pPr>
        <w:pStyle w:val="CitaviBibliographyEntry"/>
        <w:spacing w:after="80"/>
        <w:jc w:val="both"/>
      </w:pPr>
      <w:r>
        <w:rPr>
          <w:rFonts w:cstheme="minorHAnsi"/>
          <w:sz w:val="20"/>
          <w:szCs w:val="20"/>
        </w:rPr>
        <w:t xml:space="preserve">Esslinger-Hinz, Ilona (2021): Kultursensible Didaktik. Eine Einführung in Theorie und </w:t>
      </w:r>
      <w:proofErr w:type="gramStart"/>
      <w:r>
        <w:rPr>
          <w:rFonts w:cstheme="minorHAnsi"/>
          <w:sz w:val="20"/>
          <w:szCs w:val="20"/>
        </w:rPr>
        <w:t>Praxis :</w:t>
      </w:r>
      <w:proofErr w:type="gramEnd"/>
      <w:r>
        <w:rPr>
          <w:rFonts w:cstheme="minorHAnsi"/>
          <w:sz w:val="20"/>
          <w:szCs w:val="20"/>
        </w:rPr>
        <w:t xml:space="preserve"> mit Online-Materialien. 1. Auflage. Weinheim, Basel, Grünwald: Beltz; </w:t>
      </w:r>
      <w:proofErr w:type="spellStart"/>
      <w:r>
        <w:rPr>
          <w:rFonts w:cstheme="minorHAnsi"/>
          <w:sz w:val="20"/>
          <w:szCs w:val="20"/>
        </w:rPr>
        <w:t>Preselect.media</w:t>
      </w:r>
      <w:proofErr w:type="spellEnd"/>
      <w:r>
        <w:rPr>
          <w:rFonts w:cstheme="minorHAnsi"/>
          <w:sz w:val="20"/>
          <w:szCs w:val="20"/>
        </w:rPr>
        <w:t xml:space="preserve"> GmbH (Pädagogik). Online verfügbar unter </w:t>
      </w:r>
      <w:hyperlink r:id="rId6">
        <w:r>
          <w:rPr>
            <w:rFonts w:cstheme="minorHAnsi"/>
            <w:sz w:val="20"/>
            <w:szCs w:val="20"/>
          </w:rPr>
          <w:t>https://nbn-resolving.org/urn:nbn:de:bsz:31-epflicht-2120788</w:t>
        </w:r>
      </w:hyperlink>
      <w:r>
        <w:rPr>
          <w:rFonts w:cstheme="minorHAnsi"/>
          <w:sz w:val="20"/>
          <w:szCs w:val="20"/>
        </w:rPr>
        <w:t>.</w:t>
      </w:r>
    </w:p>
    <w:p w:rsidR="00571B0D" w:rsidRPr="003E541C" w:rsidRDefault="00000000" w:rsidP="003E541C">
      <w:pPr>
        <w:pStyle w:val="CitaviBibliographyEntry"/>
        <w:spacing w:after="80"/>
        <w:jc w:val="both"/>
        <w:rPr>
          <w:lang w:val="en-US"/>
        </w:rPr>
      </w:pPr>
      <w:r>
        <w:rPr>
          <w:rFonts w:ascii="Segoe UI" w:hAnsi="Segoe UI" w:cs="Segoe UI"/>
          <w:sz w:val="20"/>
          <w:szCs w:val="20"/>
        </w:rPr>
        <w:t xml:space="preserve">Klieme, Eckhard; </w:t>
      </w:r>
      <w:proofErr w:type="spellStart"/>
      <w:r>
        <w:rPr>
          <w:rFonts w:ascii="Segoe UI" w:hAnsi="Segoe UI" w:cs="Segoe UI"/>
          <w:sz w:val="20"/>
          <w:szCs w:val="20"/>
        </w:rPr>
        <w:t>Rakoczy</w:t>
      </w:r>
      <w:proofErr w:type="spellEnd"/>
      <w:r>
        <w:rPr>
          <w:rFonts w:ascii="Segoe UI" w:hAnsi="Segoe UI" w:cs="Segoe UI"/>
          <w:sz w:val="20"/>
          <w:szCs w:val="20"/>
        </w:rPr>
        <w:t xml:space="preserve">, Katrin (2008): Empirische Unterrichtsforschung und Fachdidaktik. Outcome-orientierte Messung und Prozessqualität des Unterrichts. Zeitschrift für Pädagogik 54 (2008) 2, S. 222-237. </w:t>
      </w:r>
      <w:r>
        <w:rPr>
          <w:rFonts w:ascii="Segoe UI" w:hAnsi="Segoe UI" w:cs="Segoe UI"/>
          <w:sz w:val="20"/>
          <w:szCs w:val="20"/>
          <w:lang w:val="en-US"/>
        </w:rPr>
        <w:t xml:space="preserve">In: </w:t>
      </w:r>
      <w:proofErr w:type="spellStart"/>
      <w:r>
        <w:rPr>
          <w:rFonts w:ascii="Segoe UI" w:hAnsi="Segoe UI" w:cs="Segoe UI"/>
          <w:i/>
          <w:iCs/>
          <w:sz w:val="20"/>
          <w:szCs w:val="20"/>
          <w:lang w:val="en-US"/>
        </w:rPr>
        <w:t>Zeitschrift</w:t>
      </w:r>
      <w:proofErr w:type="spellEnd"/>
      <w:r>
        <w:rPr>
          <w:rFonts w:ascii="Segoe UI" w:hAnsi="Segoe UI" w:cs="Segoe UI"/>
          <w:i/>
          <w:iCs/>
          <w:sz w:val="20"/>
          <w:szCs w:val="20"/>
          <w:lang w:val="en-US"/>
        </w:rPr>
        <w:t xml:space="preserve"> für </w:t>
      </w:r>
      <w:proofErr w:type="spellStart"/>
      <w:r>
        <w:rPr>
          <w:rFonts w:ascii="Segoe UI" w:hAnsi="Segoe UI" w:cs="Segoe UI"/>
          <w:i/>
          <w:iCs/>
          <w:sz w:val="20"/>
          <w:szCs w:val="20"/>
          <w:lang w:val="en-US"/>
        </w:rPr>
        <w:t>Pädagogik</w:t>
      </w:r>
      <w:proofErr w:type="spellEnd"/>
      <w:r>
        <w:rPr>
          <w:rFonts w:ascii="Segoe UI" w:hAnsi="Segoe UI" w:cs="Segoe UI"/>
          <w:i/>
          <w:iCs/>
          <w:sz w:val="20"/>
          <w:szCs w:val="20"/>
          <w:lang w:val="en-US"/>
        </w:rPr>
        <w:t xml:space="preserve"> </w:t>
      </w:r>
      <w:r>
        <w:rPr>
          <w:rFonts w:ascii="Segoe UI" w:hAnsi="Segoe UI" w:cs="Segoe UI"/>
          <w:sz w:val="20"/>
          <w:szCs w:val="20"/>
          <w:lang w:val="en-US"/>
        </w:rPr>
        <w:t>54. DOI: 10.25656/01:4348</w:t>
      </w:r>
    </w:p>
    <w:p w:rsidR="00571B0D" w:rsidRPr="003E541C" w:rsidRDefault="00000000" w:rsidP="003E541C">
      <w:pPr>
        <w:pStyle w:val="CitaviBibliographyEntry"/>
        <w:spacing w:after="80"/>
        <w:jc w:val="both"/>
        <w:rPr>
          <w:lang w:val="en-US"/>
        </w:rPr>
      </w:pPr>
      <w:r>
        <w:rPr>
          <w:rFonts w:ascii="Segoe UI" w:hAnsi="Segoe UI" w:cs="Segoe UI"/>
          <w:sz w:val="20"/>
          <w:szCs w:val="20"/>
          <w:lang w:val="en-US"/>
        </w:rPr>
        <w:t xml:space="preserve">Knapp, J.; Giese, M. Investigating Embodied Presence across Various Formats in Higher Education: A Phenomenological Heuristic Approach from a </w:t>
      </w:r>
      <w:proofErr w:type="spellStart"/>
      <w:r>
        <w:rPr>
          <w:rFonts w:ascii="Segoe UI" w:hAnsi="Segoe UI" w:cs="Segoe UI"/>
          <w:sz w:val="20"/>
          <w:szCs w:val="20"/>
          <w:lang w:val="en-US"/>
        </w:rPr>
        <w:t>Bildung</w:t>
      </w:r>
      <w:proofErr w:type="spellEnd"/>
      <w:r>
        <w:rPr>
          <w:rFonts w:ascii="Segoe UI" w:hAnsi="Segoe UI" w:cs="Segoe UI"/>
          <w:sz w:val="20"/>
          <w:szCs w:val="20"/>
          <w:lang w:val="en-US"/>
        </w:rPr>
        <w:t>-Theoretical Perspective. Trends High. Educ. 2024, 3, 457–471. https://doi.org/10.3390/ higheredu3020027</w:t>
      </w:r>
    </w:p>
    <w:p w:rsidR="00571B0D" w:rsidRPr="003E541C" w:rsidRDefault="00000000" w:rsidP="003E541C">
      <w:pPr>
        <w:pStyle w:val="CitaviBibliographyEntry"/>
        <w:spacing w:after="80"/>
        <w:jc w:val="both"/>
      </w:pPr>
      <w:r w:rsidRPr="003E541C">
        <w:rPr>
          <w:rFonts w:ascii="Segoe UI" w:hAnsi="Segoe UI" w:cs="Segoe UI"/>
          <w:sz w:val="20"/>
          <w:szCs w:val="20"/>
        </w:rPr>
        <w:t xml:space="preserve">Schäfer, S-L &amp; Häußler, A. (2024). </w:t>
      </w:r>
      <w:r>
        <w:rPr>
          <w:rFonts w:ascii="Segoe UI" w:hAnsi="Segoe UI" w:cs="Segoe UI"/>
          <w:sz w:val="20"/>
          <w:szCs w:val="20"/>
        </w:rPr>
        <w:t>Essalltag und Ernährungsweisen von Studierenden zwischen Online- und Präsenzlehre und die Bedeutung für Lernprozesse im Studium Lernprozesse im Studium. In: I. Esslinger-Hinz &amp; G. Reinmann (Hrsg.), Journal für Allgemeine Didaktik, 12/2024, S. 134–154.</w:t>
      </w:r>
    </w:p>
    <w:p w:rsidR="00571B0D" w:rsidRDefault="00000000" w:rsidP="003E541C">
      <w:pPr>
        <w:pStyle w:val="CitaviBibliographyEntry"/>
        <w:spacing w:after="80"/>
        <w:jc w:val="both"/>
      </w:pPr>
      <w:r>
        <w:rPr>
          <w:rFonts w:ascii="Segoe UI" w:hAnsi="Segoe UI" w:cs="Segoe UI"/>
          <w:sz w:val="20"/>
          <w:szCs w:val="20"/>
        </w:rPr>
        <w:t>Xavier, Charlotte (2024): Das Konstrukt körperbezogene Selbstbestimmung. In: Ilona Esslinger-Hinz und Gabi Reinmann (</w:t>
      </w:r>
      <w:proofErr w:type="spellStart"/>
      <w:r>
        <w:rPr>
          <w:rFonts w:ascii="Segoe UI" w:hAnsi="Segoe UI" w:cs="Segoe UI"/>
          <w:sz w:val="20"/>
          <w:szCs w:val="20"/>
        </w:rPr>
        <w:t>Hg</w:t>
      </w:r>
      <w:proofErr w:type="spellEnd"/>
      <w:r>
        <w:rPr>
          <w:rFonts w:ascii="Segoe UI" w:hAnsi="Segoe UI" w:cs="Segoe UI"/>
          <w:sz w:val="20"/>
          <w:szCs w:val="20"/>
        </w:rPr>
        <w:t>.): Journal für Allgemeine Didaktik. Jg. 12|Oktober 2024. Allgemeine Didaktik und Körperlichkeit: Verlag Julius Klinkhardt, S. 15–36.</w:t>
      </w:r>
    </w:p>
    <w:sectPr w:rsidR="00571B0D">
      <w:headerReference w:type="even" r:id="rId7"/>
      <w:headerReference w:type="default" r:id="rId8"/>
      <w:headerReference w:type="first" r:id="rId9"/>
      <w:pgSz w:w="11906" w:h="16838"/>
      <w:pgMar w:top="1440" w:right="1080" w:bottom="1440" w:left="1080" w:header="161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93F" w:rsidRDefault="000F293F">
      <w:r>
        <w:separator/>
      </w:r>
    </w:p>
  </w:endnote>
  <w:endnote w:type="continuationSeparator" w:id="0">
    <w:p w:rsidR="000F293F" w:rsidRDefault="000F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93F" w:rsidRDefault="000F293F">
      <w:r>
        <w:separator/>
      </w:r>
    </w:p>
  </w:footnote>
  <w:footnote w:type="continuationSeparator" w:id="0">
    <w:p w:rsidR="000F293F" w:rsidRDefault="000F2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1B0D" w:rsidRDefault="00571B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1B0D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571B0D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1B0D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571B0D" w:rsidRDefault="00571B0D">
    <w:pPr>
      <w:pStyle w:val="Kopfzeile"/>
      <w:rPr>
        <w:sz w:val="20"/>
        <w:szCs w:val="20"/>
      </w:rPr>
    </w:pPr>
  </w:p>
  <w:p w:rsidR="00571B0D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571B0D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1B0D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571B0D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1B0D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571B0D" w:rsidRDefault="00571B0D">
    <w:pPr>
      <w:pStyle w:val="Kopfzeile"/>
      <w:rPr>
        <w:sz w:val="20"/>
        <w:szCs w:val="20"/>
      </w:rPr>
    </w:pPr>
  </w:p>
  <w:p w:rsidR="00571B0D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571B0D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9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B0D"/>
    <w:rsid w:val="000F293F"/>
    <w:rsid w:val="003E541C"/>
    <w:rsid w:val="00517F9B"/>
    <w:rsid w:val="005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AEF862"/>
  <w15:docId w15:val="{9592C765-ECDA-9A46-9081-4E34084E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5A01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</w:style>
  <w:style w:type="character" w:customStyle="1" w:styleId="FuzeileZchn">
    <w:name w:val="Fußzeile Zchn"/>
    <w:basedOn w:val="Absatz-Standardschriftart"/>
    <w:link w:val="Fuzeile"/>
    <w:uiPriority w:val="99"/>
    <w:qFormat/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qFormat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255A01"/>
    <w:rPr>
      <w:rFonts w:eastAsiaTheme="majorEastAsia" w:cstheme="majorBidi"/>
      <w:b/>
      <w:sz w:val="28"/>
      <w:szCs w:val="32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paragraph" w:customStyle="1" w:styleId="CitaviBibliographyEntry">
    <w:name w:val="Citavi Bibliography Entry"/>
    <w:basedOn w:val="Standard"/>
    <w:link w:val="CitaviBibliographyEntryZchn"/>
    <w:uiPriority w:val="99"/>
    <w:qFormat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bn-resolving.org/urn:nbn:de:bsz:31-epflicht-2120788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dc:description/>
  <cp:lastModifiedBy>Ulrike Dr. Graf</cp:lastModifiedBy>
  <cp:revision>7</cp:revision>
  <cp:lastPrinted>2025-05-12T06:55:00Z</cp:lastPrinted>
  <dcterms:created xsi:type="dcterms:W3CDTF">2025-06-04T19:06:00Z</dcterms:created>
  <dcterms:modified xsi:type="dcterms:W3CDTF">2025-06-23T13:58:00Z</dcterms:modified>
  <dc:language>de-DE</dc:language>
</cp:coreProperties>
</file>