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berschrift1"/>
        <w:rPr>
          <w:color w:val="1C426F" w:themeColor="accent1"/>
        </w:rPr>
      </w:pPr>
      <w:r>
        <w:rPr>
          <w:color w:val="1C426F" w:themeColor="accent1"/>
        </w:rPr>
        <w:t xml:space="preserve">Erstellung von Datenschutzhinweisen gem. Art. 13 DSGVO </w:t>
      </w:r>
    </w:p>
    <w:p>
      <w:pPr>
        <w:pStyle w:val="berschrift1"/>
        <w:rPr>
          <w:color w:val="1C426F" w:themeColor="accent1"/>
        </w:rPr>
      </w:pPr>
      <w:r>
        <w:rPr>
          <w:color w:val="1C426F" w:themeColor="accent1"/>
        </w:rPr>
        <w:t>- Ausfüllhinweise für die Vorlage „Informationen zur Verarbeitung personenbezogener Daten“ -</w:t>
      </w:r>
    </w:p>
    <w:p/>
    <w:p>
      <w:pPr>
        <w:pStyle w:val="berschrift2"/>
        <w:rPr>
          <w:color w:val="1C426F" w:themeColor="accent1"/>
        </w:rPr>
      </w:pPr>
      <w:r>
        <w:rPr>
          <w:color w:val="1C426F" w:themeColor="accent1"/>
        </w:rPr>
        <w:t xml:space="preserve">I. Allgemeine Informationen </w:t>
      </w:r>
    </w:p>
    <w:p>
      <w:r>
        <w:t>Die nachfolgenden Ausfüllhinweise sollen Ihnen als Hilfestellung bei der Erstellung der Informationen zur Verarbeitung personenbezogener Daten nach Art. 13 DSGVO dienen. Ein Dokument als Vorlage finden Sie auf unserer Homepage (im Bereich „Datenschutz“ unter „Hilfreiche Dokumente und Vorlagen“).</w:t>
      </w:r>
    </w:p>
    <w:p>
      <w:r>
        <w:t xml:space="preserve">(Forschungs-)Projekte unterscheiden sich bei der Datenverarbeitung allerdings mitunter sehr. Daher ist es notwendig, dass Sie die Informationen nicht einfach übernehmen, ohne sie auf ihr individuelles (Forschungs-)Projekt anzupassen. </w:t>
      </w:r>
    </w:p>
    <w:p>
      <w:r>
        <w:t>Wenn Sie als Studierende:r ein Forschungsprojekt für eine Abschlussarbeit betreiben, bei dem personenbezogene Daten verarbeitet werden, handeln Sie nicht im Namen der PH Heidelberg, sondern für sich selbst. Für diese Fälle finden Sie im Folgenden separate Vorgaben und Beispielformulierungen unter der Rubrik „Studierende:r“ in der linken Spalte.</w:t>
      </w:r>
    </w:p>
    <w:p>
      <w:r>
        <w:t xml:space="preserve">Allgemeine Informationen zum Datenschutz finden Sie auf unserer Webseite. Darüber hinaus können Sie sich als Beschäftigte bei Fragen jederzeit an den/ die Datenschutzbeauftragte:n (DSB) der PH unter </w:t>
      </w:r>
      <w:hyperlink r:id="rId8" w:history="1">
        <w:r>
          <w:rPr>
            <w:rStyle w:val="Hyperlink"/>
            <w:color w:val="auto"/>
            <w:u w:val="none"/>
          </w:rPr>
          <w:t>dsb@ph-heidelberg.de</w:t>
        </w:r>
      </w:hyperlink>
      <w:r>
        <w:t xml:space="preserve"> wenden. </w:t>
      </w:r>
    </w:p>
    <w:p>
      <w:pPr>
        <w:pStyle w:val="berschrift3"/>
      </w:pPr>
      <w:r>
        <w:t xml:space="preserve">Warum müssen Datenschutzhinweise erstellt werden? </w:t>
      </w:r>
    </w:p>
    <w:p>
      <w:r>
        <w:t xml:space="preserve">Nach Art. 13 DSGVO sind Sie als Forschende:r oder Mitarbeitende:r an der PH Heidelberg bzw. Studierende verpflichtet, Personen, deren personenbezogene Daten erhoben werden, über Art, Umfang und Zweck der Datenverarbeitung in Ihrem Projekt/Ihrem Arbeitsbereich zu informieren. Die Datenschutzhinweise stellen sicher, dass die Betroffenen transparent über die Verarbeitung ihrer Daten aufgeklärt werden, ihre Rechte kennen und dass den gesetzlichen Informationspflicht nachgekommen wird. </w:t>
      </w:r>
    </w:p>
    <w:p>
      <w:pPr>
        <w:pStyle w:val="berschrift3"/>
      </w:pPr>
      <w:r>
        <w:t xml:space="preserve">Wann müssen die Datenschutzhinweise erstellt werden? </w:t>
      </w:r>
    </w:p>
    <w:p>
      <w:r>
        <w:t xml:space="preserve">Eine allgemeine Übersicht, wie Sie Projekte insgesamt datenschutzkonform durchführen, finden Sie  auf unserer Homepage (im Bereich „Datenschutz“ unter „Hilfreiche Dokumente und Vorlagen“). Wir empfehlen, mit diesem Dokument zu beginnen. Wenn Sie die dortigen Informationen gesammelt haben, schreiben sich die Datenschutzhinweise wie von selbst. </w:t>
      </w:r>
    </w:p>
    <w:p>
      <w:pPr>
        <w:pStyle w:val="berschrift2"/>
        <w:rPr>
          <w:color w:val="1C426F" w:themeColor="accent1"/>
        </w:rPr>
      </w:pPr>
      <w:r>
        <w:rPr>
          <w:color w:val="1C426F" w:themeColor="accent1"/>
        </w:rPr>
        <w:t xml:space="preserve">II. Ausfüllhinweise </w:t>
      </w:r>
    </w:p>
    <w:p>
      <w:pPr>
        <w:rPr>
          <w:b/>
        </w:rPr>
      </w:pPr>
      <w:r>
        <w:rPr>
          <w:b/>
        </w:rPr>
        <w:t xml:space="preserve">Präambel </w:t>
      </w:r>
    </w:p>
    <w:p>
      <w:r>
        <w:t xml:space="preserve">Die Präambel dient der Einleitung und der Übermittlung von grundlegenden Informationen.  </w:t>
      </w:r>
    </w:p>
    <w:tbl>
      <w:tblPr>
        <w:tblStyle w:val="Tabellenraster"/>
        <w:tblW w:w="0" w:type="auto"/>
        <w:tblLook w:val="04A0" w:firstRow="1" w:lastRow="0" w:firstColumn="1" w:lastColumn="0" w:noHBand="0" w:noVBand="1"/>
      </w:tblPr>
      <w:tblGrid>
        <w:gridCol w:w="1838"/>
        <w:gridCol w:w="7224"/>
      </w:tblGrid>
      <w:tr>
        <w:tc>
          <w:tcPr>
            <w:tcW w:w="1838" w:type="dxa"/>
            <w:shd w:val="clear" w:color="auto" w:fill="FFC40A" w:themeFill="text2"/>
            <w:vAlign w:val="center"/>
          </w:tcPr>
          <w:p>
            <w:pPr>
              <w:jc w:val="center"/>
              <w:rPr>
                <w:b/>
              </w:rPr>
            </w:pPr>
            <w:r>
              <w:rPr>
                <w:b/>
              </w:rPr>
              <w:t>Verantwortliche Stelle/Person</w:t>
            </w:r>
          </w:p>
        </w:tc>
        <w:tc>
          <w:tcPr>
            <w:tcW w:w="7224" w:type="dxa"/>
            <w:shd w:val="clear" w:color="auto" w:fill="FFC40A" w:themeFill="text2"/>
            <w:vAlign w:val="center"/>
          </w:tcPr>
          <w:p>
            <w:pPr>
              <w:jc w:val="center"/>
              <w:rPr>
                <w:b/>
              </w:rPr>
            </w:pPr>
            <w:r>
              <w:rPr>
                <w:b/>
              </w:rPr>
              <w:t>Formulierungsbeispiel</w:t>
            </w:r>
          </w:p>
        </w:tc>
      </w:tr>
      <w:tr>
        <w:tc>
          <w:tcPr>
            <w:tcW w:w="1838" w:type="dxa"/>
            <w:shd w:val="clear" w:color="auto" w:fill="FFF3CE" w:themeFill="text2" w:themeFillTint="33"/>
          </w:tcPr>
          <w:p>
            <w:r>
              <w:t xml:space="preserve">PH Heidelberg </w:t>
            </w:r>
          </w:p>
          <w:p/>
          <w:p/>
          <w:p/>
          <w:p/>
          <w:p/>
          <w:p/>
          <w:p/>
          <w:p>
            <w:pPr>
              <w:jc w:val="center"/>
            </w:pPr>
          </w:p>
        </w:tc>
        <w:tc>
          <w:tcPr>
            <w:tcW w:w="7224" w:type="dxa"/>
          </w:tcPr>
          <w:p>
            <w:r>
              <w:lastRenderedPageBreak/>
              <w:t xml:space="preserve">„Nachfolgend erhalten Sie gem. Art. 13 der Datenschutzgrundverordnung (DSGVO) umfassende Informationen zur Verarbeitung personenbezogener </w:t>
            </w:r>
            <w:r>
              <w:lastRenderedPageBreak/>
              <w:t>Daten im Rahmen des Projekts/ der Veranstaltung/oä. Personenbezogene Daten werden von der Pädagogischen Hochschule Heidelberg bzw. den für das Projekt verantwortlichen Personen ausschließlich im Einklang mit den geltenden datenschutzrechtlichen Bestimmungen verarbeitet.</w:t>
            </w:r>
          </w:p>
          <w:p>
            <w:r>
              <w:t>Die verwendeten datenschutzrechtlichen Begriffe, insbesondere ‚personenbezogene Daten‘ und ‚Verarbeitung‘, entsprechen den Definitionen des Art. 4 DSGVO.“</w:t>
            </w:r>
          </w:p>
        </w:tc>
      </w:tr>
      <w:tr>
        <w:tc>
          <w:tcPr>
            <w:tcW w:w="1838" w:type="dxa"/>
            <w:shd w:val="clear" w:color="auto" w:fill="FFF3CE" w:themeFill="text2" w:themeFillTint="33"/>
          </w:tcPr>
          <w:p>
            <w:r>
              <w:lastRenderedPageBreak/>
              <w:t>Studierende:r</w:t>
            </w:r>
          </w:p>
        </w:tc>
        <w:tc>
          <w:tcPr>
            <w:tcW w:w="7224" w:type="dxa"/>
          </w:tcPr>
          <w:p>
            <w:r>
              <w:t>„Nachfolgend erhalten Sie gem. Art. 13 der Datenschutzgrundverordnung (DSGVO) umfassende Informationen darüber, wie ich im Rahmen meines Projekts ‚X‘</w:t>
            </w:r>
            <w:r>
              <w:rPr>
                <w:color w:val="FF0000"/>
              </w:rPr>
              <w:t xml:space="preserve"> </w:t>
            </w:r>
            <w:r>
              <w:t xml:space="preserve">Ihre personenbezogenen Daten verarbeite. </w:t>
            </w:r>
          </w:p>
          <w:p>
            <w:r>
              <w:t>Hinsichtlich der verwendeten Begrifflichkeiten, wie z.B. ‚personenbezogene Daten‘ oder deren ‚Verarbeitung‘ verweise ich auf die Definitionen des Art. 4 der Datenschutzgrundverordnung (DSGVO).“</w:t>
            </w:r>
          </w:p>
        </w:tc>
      </w:tr>
    </w:tbl>
    <w:p/>
    <w:p>
      <w:pPr>
        <w:pStyle w:val="berschrift2"/>
      </w:pPr>
      <w:r>
        <w:t>1. Verantwortlich im datenschutzrechtlichen Sinne</w:t>
      </w:r>
    </w:p>
    <w:p>
      <w:r>
        <w:t xml:space="preserve">Verantwortliche:r für die Datenverarbeitung ist, wer über die Zwecke und Mittel der Datenverarbeitung entscheidet. Entscheiden mehrere gemeinsam, liegt ein Fall der gemeinsamen Verantwortlichkeit (Art. 26 DSGVO) vor. </w:t>
      </w:r>
    </w:p>
    <w:p>
      <w:r>
        <w:t>Die Abgrenzung, wann eine alleinige oder eine gemeinsame Verantwortlichkeit vorliegt, kann unter Umständen schwierig sein. Wenden Sie sich als Beschäftigte:r der PH Heidelberg bei Fragen gerne an den oder die DSB.</w:t>
      </w:r>
    </w:p>
    <w:p>
      <w:pPr>
        <w:rPr>
          <w:u w:val="single"/>
        </w:rPr>
      </w:pPr>
    </w:p>
    <w:tbl>
      <w:tblPr>
        <w:tblStyle w:val="Tabellenraster"/>
        <w:tblW w:w="0" w:type="auto"/>
        <w:tblLook w:val="04A0" w:firstRow="1" w:lastRow="0" w:firstColumn="1" w:lastColumn="0" w:noHBand="0" w:noVBand="1"/>
      </w:tblPr>
      <w:tblGrid>
        <w:gridCol w:w="1838"/>
        <w:gridCol w:w="7224"/>
      </w:tblGrid>
      <w:tr>
        <w:tc>
          <w:tcPr>
            <w:tcW w:w="1838" w:type="dxa"/>
            <w:shd w:val="clear" w:color="auto" w:fill="FFC40A" w:themeFill="text2"/>
            <w:vAlign w:val="center"/>
          </w:tcPr>
          <w:p>
            <w:pPr>
              <w:jc w:val="center"/>
              <w:rPr>
                <w:b/>
              </w:rPr>
            </w:pPr>
            <w:bookmarkStart w:id="0" w:name="_Hlk231210145"/>
            <w:r>
              <w:rPr>
                <w:b/>
              </w:rPr>
              <w:t>Verantwortliche Stelle/Person</w:t>
            </w:r>
          </w:p>
        </w:tc>
        <w:tc>
          <w:tcPr>
            <w:tcW w:w="7224" w:type="dxa"/>
            <w:shd w:val="clear" w:color="auto" w:fill="FFC40A" w:themeFill="text2"/>
            <w:vAlign w:val="center"/>
          </w:tcPr>
          <w:p>
            <w:pPr>
              <w:jc w:val="center"/>
              <w:rPr>
                <w:b/>
              </w:rPr>
            </w:pPr>
            <w:r>
              <w:rPr>
                <w:b/>
              </w:rPr>
              <w:t>Formulierungsbeispiel</w:t>
            </w:r>
          </w:p>
        </w:tc>
      </w:tr>
      <w:tr>
        <w:tc>
          <w:tcPr>
            <w:tcW w:w="1838" w:type="dxa"/>
            <w:shd w:val="clear" w:color="auto" w:fill="FFF3CE" w:themeFill="text2" w:themeFillTint="33"/>
          </w:tcPr>
          <w:p>
            <w:r>
              <w:t xml:space="preserve">PH Heidelberg </w:t>
            </w:r>
          </w:p>
        </w:tc>
        <w:tc>
          <w:tcPr>
            <w:tcW w:w="7224" w:type="dxa"/>
          </w:tcPr>
          <w:p>
            <w:pPr>
              <w:rPr>
                <w:color w:val="000000" w:themeColor="text1"/>
              </w:rPr>
            </w:pPr>
            <w:r>
              <w:rPr>
                <w:color w:val="000000" w:themeColor="text1"/>
              </w:rPr>
              <w:t xml:space="preserve">„Verantwortlich im datenschutzrechtlichen Sinne ist die </w:t>
            </w:r>
          </w:p>
          <w:p>
            <w:pPr>
              <w:rPr>
                <w:color w:val="000000" w:themeColor="text1"/>
              </w:rPr>
            </w:pPr>
          </w:p>
          <w:p>
            <w:pPr>
              <w:rPr>
                <w:color w:val="000000" w:themeColor="text1"/>
              </w:rPr>
            </w:pPr>
            <w:r>
              <w:rPr>
                <w:color w:val="000000" w:themeColor="text1"/>
              </w:rPr>
              <w:t>Pädagogische Hochschule Heidelberg</w:t>
            </w:r>
          </w:p>
          <w:p>
            <w:pPr>
              <w:rPr>
                <w:color w:val="000000" w:themeColor="text1"/>
              </w:rPr>
            </w:pPr>
            <w:r>
              <w:rPr>
                <w:color w:val="000000" w:themeColor="text1"/>
              </w:rPr>
              <w:t>vertreten durch die Rektorin</w:t>
            </w:r>
          </w:p>
          <w:p>
            <w:pPr>
              <w:rPr>
                <w:color w:val="000000" w:themeColor="text1"/>
              </w:rPr>
            </w:pPr>
            <w:r>
              <w:rPr>
                <w:color w:val="000000" w:themeColor="text1"/>
              </w:rPr>
              <w:t>Keplerstraße 87</w:t>
            </w:r>
          </w:p>
          <w:p>
            <w:pPr>
              <w:rPr>
                <w:color w:val="000000" w:themeColor="text1"/>
              </w:rPr>
            </w:pPr>
            <w:r>
              <w:rPr>
                <w:color w:val="000000" w:themeColor="text1"/>
              </w:rPr>
              <w:t>69120 Heidelberg</w:t>
            </w:r>
          </w:p>
          <w:p>
            <w:pPr>
              <w:rPr>
                <w:color w:val="000000" w:themeColor="text1"/>
              </w:rPr>
            </w:pPr>
            <w:r>
              <w:rPr>
                <w:color w:val="000000" w:themeColor="text1"/>
              </w:rPr>
              <w:t>info@ph-heidelberg.de“</w:t>
            </w:r>
          </w:p>
          <w:p/>
        </w:tc>
      </w:tr>
      <w:tr>
        <w:tc>
          <w:tcPr>
            <w:tcW w:w="1838" w:type="dxa"/>
            <w:shd w:val="clear" w:color="auto" w:fill="FFF3CE" w:themeFill="text2" w:themeFillTint="33"/>
          </w:tcPr>
          <w:p>
            <w:r>
              <w:t>Studierende:r</w:t>
            </w:r>
          </w:p>
          <w:p/>
          <w:p>
            <w:r>
              <w:t>(z.B. bei Bachelorarbeit)</w:t>
            </w:r>
          </w:p>
        </w:tc>
        <w:tc>
          <w:tcPr>
            <w:tcW w:w="7224" w:type="dxa"/>
          </w:tcPr>
          <w:p>
            <w:pPr>
              <w:rPr>
                <w:color w:val="000000" w:themeColor="text1"/>
              </w:rPr>
            </w:pPr>
            <w:r>
              <w:rPr>
                <w:color w:val="000000" w:themeColor="text1"/>
              </w:rPr>
              <w:t xml:space="preserve">„Verantwortlich im datenschutzrechtlichen Sinn ist </w:t>
            </w:r>
          </w:p>
          <w:p>
            <w:pPr>
              <w:rPr>
                <w:color w:val="FF0000"/>
              </w:rPr>
            </w:pPr>
          </w:p>
          <w:p>
            <w:r>
              <w:t xml:space="preserve">Vorname Nachname </w:t>
            </w:r>
          </w:p>
          <w:p>
            <w:r>
              <w:t>Adresse</w:t>
            </w:r>
          </w:p>
          <w:p>
            <w:r>
              <w:t xml:space="preserve">E-Mail-Adresse“ </w:t>
            </w:r>
          </w:p>
          <w:p/>
        </w:tc>
      </w:tr>
      <w:bookmarkEnd w:id="0"/>
    </w:tbl>
    <w:p/>
    <w:p>
      <w:pPr>
        <w:pStyle w:val="berschrift2"/>
      </w:pPr>
      <w:r>
        <w:t>2. Datenschutzbeauftragte:r</w:t>
      </w:r>
    </w:p>
    <w:p>
      <w:r>
        <w:t xml:space="preserve"> Die Benennung eines Datenschutzbeauftragten dient der Sicherstellung der Einhaltung datenschutzrechtlicher Vorschriften innerhalb der PH HD. Der:die Datenschutzbeauftragte berät und unterstützt die Hochschule bei der Umsetzung der Anforderungen der Datenschutz-Grundverordnung (DSGVO) und anderer Datenschutzvorschriften, überwacht deren Einhaltung und </w:t>
      </w:r>
      <w:r>
        <w:lastRenderedPageBreak/>
        <w:t xml:space="preserve">fungiert als Ansprechperson für betroffene Personen sowie für die zuständige Datenschutzaufsichtsbehörde. Es ist deshalb notwendig die Kontaktmöglichkeiten aufzuführen. </w:t>
      </w:r>
    </w:p>
    <w:tbl>
      <w:tblPr>
        <w:tblStyle w:val="Tabellenraster"/>
        <w:tblW w:w="0" w:type="auto"/>
        <w:tblLook w:val="04A0" w:firstRow="1" w:lastRow="0" w:firstColumn="1" w:lastColumn="0" w:noHBand="0" w:noVBand="1"/>
      </w:tblPr>
      <w:tblGrid>
        <w:gridCol w:w="1838"/>
        <w:gridCol w:w="7224"/>
      </w:tblGrid>
      <w:tr>
        <w:tc>
          <w:tcPr>
            <w:tcW w:w="1838" w:type="dxa"/>
            <w:shd w:val="clear" w:color="auto" w:fill="FFC40A" w:themeFill="text2"/>
            <w:vAlign w:val="center"/>
          </w:tcPr>
          <w:p>
            <w:pPr>
              <w:jc w:val="center"/>
              <w:rPr>
                <w:b/>
              </w:rPr>
            </w:pPr>
            <w:r>
              <w:rPr>
                <w:b/>
              </w:rPr>
              <w:t>Verantwortliche Stelle/Person</w:t>
            </w:r>
          </w:p>
        </w:tc>
        <w:tc>
          <w:tcPr>
            <w:tcW w:w="7224" w:type="dxa"/>
            <w:shd w:val="clear" w:color="auto" w:fill="FFC40A" w:themeFill="text2"/>
            <w:vAlign w:val="center"/>
          </w:tcPr>
          <w:p>
            <w:pPr>
              <w:jc w:val="center"/>
              <w:rPr>
                <w:b/>
              </w:rPr>
            </w:pPr>
            <w:r>
              <w:rPr>
                <w:b/>
              </w:rPr>
              <w:t>Formulierungsbeispiel</w:t>
            </w:r>
          </w:p>
        </w:tc>
      </w:tr>
      <w:tr>
        <w:tc>
          <w:tcPr>
            <w:tcW w:w="1838" w:type="dxa"/>
            <w:shd w:val="clear" w:color="auto" w:fill="FFF3CE" w:themeFill="text2" w:themeFillTint="33"/>
          </w:tcPr>
          <w:p>
            <w:pPr>
              <w:rPr>
                <w:b/>
              </w:rPr>
            </w:pPr>
            <w:r>
              <w:rPr>
                <w:b/>
              </w:rPr>
              <w:t xml:space="preserve">PH Heidelberg </w:t>
            </w:r>
          </w:p>
        </w:tc>
        <w:tc>
          <w:tcPr>
            <w:tcW w:w="7224" w:type="dxa"/>
          </w:tcPr>
          <w:p>
            <w:pPr>
              <w:rPr>
                <w:color w:val="000000" w:themeColor="text1"/>
              </w:rPr>
            </w:pPr>
            <w:r>
              <w:rPr>
                <w:color w:val="000000" w:themeColor="text1"/>
              </w:rPr>
              <w:t>„Unseren Datenschutzbeauftragten erreichen Sie unter folgenden Kontaktmöglichkeiten:</w:t>
            </w:r>
          </w:p>
          <w:p>
            <w:pPr>
              <w:rPr>
                <w:color w:val="000000" w:themeColor="text1"/>
              </w:rPr>
            </w:pPr>
          </w:p>
          <w:p>
            <w:pPr>
              <w:rPr>
                <w:color w:val="000000" w:themeColor="text1"/>
              </w:rPr>
            </w:pPr>
            <w:r>
              <w:rPr>
                <w:color w:val="000000" w:themeColor="text1"/>
              </w:rPr>
              <w:t>Datenschutzbeauftragter</w:t>
            </w:r>
            <w:r>
              <w:rPr>
                <w:color w:val="000000" w:themeColor="text1"/>
              </w:rPr>
              <w:cr/>
              <w:t>Pädagogische Hochschule Heidelberg</w:t>
            </w:r>
            <w:r>
              <w:rPr>
                <w:color w:val="000000" w:themeColor="text1"/>
              </w:rPr>
              <w:cr/>
              <w:t>Keplerstraße 87</w:t>
            </w:r>
          </w:p>
          <w:p>
            <w:pPr>
              <w:rPr>
                <w:color w:val="000000" w:themeColor="text1"/>
              </w:rPr>
            </w:pPr>
            <w:r>
              <w:rPr>
                <w:color w:val="000000" w:themeColor="text1"/>
              </w:rPr>
              <w:t>69120 Heidelberg</w:t>
            </w:r>
          </w:p>
          <w:p>
            <w:pPr>
              <w:rPr>
                <w:color w:val="000000" w:themeColor="text1"/>
              </w:rPr>
            </w:pPr>
            <w:hyperlink r:id="rId9" w:history="1">
              <w:r>
                <w:rPr>
                  <w:rStyle w:val="Hyperlink"/>
                </w:rPr>
                <w:t>dsb@ph-heidelberg.de</w:t>
              </w:r>
            </w:hyperlink>
            <w:r>
              <w:rPr>
                <w:rStyle w:val="Hyperlink"/>
                <w:color w:val="000000" w:themeColor="text1"/>
              </w:rPr>
              <w:t>“</w:t>
            </w:r>
          </w:p>
          <w:p/>
        </w:tc>
      </w:tr>
      <w:tr>
        <w:tc>
          <w:tcPr>
            <w:tcW w:w="1838" w:type="dxa"/>
            <w:shd w:val="clear" w:color="auto" w:fill="FFF3CE" w:themeFill="text2" w:themeFillTint="33"/>
          </w:tcPr>
          <w:p>
            <w:pPr>
              <w:rPr>
                <w:b/>
              </w:rPr>
            </w:pPr>
            <w:r>
              <w:rPr>
                <w:b/>
              </w:rPr>
              <w:t>Studierende:r</w:t>
            </w:r>
          </w:p>
        </w:tc>
        <w:tc>
          <w:tcPr>
            <w:tcW w:w="7224" w:type="dxa"/>
          </w:tcPr>
          <w:p>
            <w:pPr>
              <w:rPr>
                <w:i/>
                <w:iCs/>
              </w:rPr>
            </w:pPr>
            <w:r>
              <w:rPr>
                <w:i/>
                <w:iCs/>
              </w:rPr>
              <w:t>(Als forschende Einzelperson haben Sie keinen Datenschutzbeauftragten. Sie sind selbst für die Einhaltung der datenschutzrechtlichen Vorgaben verantwortlich.)</w:t>
            </w:r>
          </w:p>
        </w:tc>
      </w:tr>
    </w:tbl>
    <w:p/>
    <w:p>
      <w:pPr>
        <w:pStyle w:val="berschrift2"/>
      </w:pPr>
      <w:r>
        <w:t xml:space="preserve">3. Umfang der Datenverarbeitung  </w:t>
      </w:r>
    </w:p>
    <w:p>
      <w:r>
        <w:t>Hier sind die personenbezogenen Daten anzugeben, die im Rahmen des jeweiligen Verfahrens, Projekts oder der jeweiligen Tätigkeit verarbeitet werden. Die Beschreibung sollte die betroffenen Datenkategorien möglichst konkret benennen, damit die betroffenen Personen nachvollziehen können, welche Daten von ihnen erhoben und genutzt werden. Bei besonderen Kategorien personenbezogener Daten im Sinne des Art. 9 DSGVO (z. B. Gesundheitsdaten, Daten zur ethnischen Herkunft, religiösen Überzeugungen oder politischen Meinungen) sind diese ausdrücklich zu nennen.</w:t>
      </w:r>
    </w:p>
    <w:tbl>
      <w:tblPr>
        <w:tblStyle w:val="Tabellenraster"/>
        <w:tblW w:w="0" w:type="auto"/>
        <w:tblLook w:val="04A0" w:firstRow="1" w:lastRow="0" w:firstColumn="1" w:lastColumn="0" w:noHBand="0" w:noVBand="1"/>
      </w:tblPr>
      <w:tblGrid>
        <w:gridCol w:w="1838"/>
        <w:gridCol w:w="7224"/>
      </w:tblGrid>
      <w:tr>
        <w:tc>
          <w:tcPr>
            <w:tcW w:w="1838" w:type="dxa"/>
            <w:shd w:val="clear" w:color="auto" w:fill="FFC40A" w:themeFill="text2"/>
            <w:vAlign w:val="center"/>
          </w:tcPr>
          <w:p>
            <w:pPr>
              <w:jc w:val="center"/>
              <w:rPr>
                <w:b/>
              </w:rPr>
            </w:pPr>
            <w:r>
              <w:rPr>
                <w:b/>
              </w:rPr>
              <w:t>Verantwortliche Stelle/Person</w:t>
            </w:r>
          </w:p>
        </w:tc>
        <w:tc>
          <w:tcPr>
            <w:tcW w:w="7224" w:type="dxa"/>
            <w:shd w:val="clear" w:color="auto" w:fill="FFC40A" w:themeFill="text2"/>
            <w:vAlign w:val="center"/>
          </w:tcPr>
          <w:p>
            <w:pPr>
              <w:jc w:val="center"/>
              <w:rPr>
                <w:b/>
              </w:rPr>
            </w:pPr>
            <w:r>
              <w:rPr>
                <w:b/>
              </w:rPr>
              <w:t>Formulierungsbeispiel</w:t>
            </w:r>
          </w:p>
        </w:tc>
      </w:tr>
      <w:tr>
        <w:tc>
          <w:tcPr>
            <w:tcW w:w="1838" w:type="dxa"/>
            <w:shd w:val="clear" w:color="auto" w:fill="FFF3CE" w:themeFill="accent2" w:themeFillTint="33"/>
          </w:tcPr>
          <w:p>
            <w:r>
              <w:t xml:space="preserve">PH Heidelberg </w:t>
            </w:r>
          </w:p>
        </w:tc>
        <w:tc>
          <w:tcPr>
            <w:tcW w:w="7224" w:type="dxa"/>
          </w:tcPr>
          <w:p>
            <w:r>
              <w:t>„Es werden folgende personenbezogene Daten verarbeitet: Name, Vorname, Kontaktdaten (E-Mail-Adresse, Telefonnummer) sowie Organisationszugehörigkeit.“</w:t>
            </w:r>
          </w:p>
          <w:p/>
          <w:p>
            <w:r>
              <w:t>„Es werden folgende personenbezogene Daten verarbeitet: Name, Vorname, Anschrift, E-Mail-Adresse sowie Angaben zur Bewerbung und Qualifikation.“</w:t>
            </w:r>
          </w:p>
          <w:p/>
          <w:p>
            <w:r>
              <w:t>„Es werden folgende personenbezogene Daten verarbeitet: Name, Vorname, Kontaktdaten, Bankverbindung sowie abrechnungsrelevante Angaben.“</w:t>
            </w:r>
          </w:p>
          <w:p/>
          <w:p>
            <w:r>
              <w:t>„Es werden Bild- und/oder Tonaufnahmen der betroffenen Personen verarbeitet.“</w:t>
            </w:r>
          </w:p>
          <w:p/>
          <w:p>
            <w:r>
              <w:t>„Im Rahmen von Interviews werden folgende personenbezogene Daten verarbeitet: Name, Kontaktdaten, Audioaufzeichnungen der Interviews sowie die daraus erstellten Transkripte.“</w:t>
            </w:r>
          </w:p>
          <w:p/>
          <w:p>
            <w:r>
              <w:t>„Im Rahmen einer Online-Befragung werden folgende personenbezogene Daten verarbeitet: IP-Adresse, Zeitpunkt der Teilnahme, Angaben im Fragebogen sowie freiwillig angegebene Kontaktdaten.“</w:t>
            </w:r>
          </w:p>
        </w:tc>
      </w:tr>
      <w:tr>
        <w:tc>
          <w:tcPr>
            <w:tcW w:w="1838" w:type="dxa"/>
            <w:shd w:val="clear" w:color="auto" w:fill="FFF3CE" w:themeFill="accent2" w:themeFillTint="33"/>
          </w:tcPr>
          <w:p>
            <w:r>
              <w:lastRenderedPageBreak/>
              <w:t>Studierende:r</w:t>
            </w:r>
          </w:p>
        </w:tc>
        <w:tc>
          <w:tcPr>
            <w:tcW w:w="7224" w:type="dxa"/>
          </w:tcPr>
          <w:p>
            <w:r>
              <w:t>„Es werden folgende personenbezogene Daten verarbeitet: Name, Vorname, Kontaktdaten (E-Mail-Adresse, Telefonnummer) sowie Organisationszugehörigkeit.“</w:t>
            </w:r>
          </w:p>
          <w:p/>
          <w:p>
            <w:r>
              <w:t>„Es werden Bild- und/oder Tonaufnahmen der betroffenen Personen verarbeitet.“</w:t>
            </w:r>
          </w:p>
          <w:p/>
          <w:p>
            <w:r>
              <w:t>„Im Rahmen von Interviews werden folgende personenbezogene Daten verarbeitet: Name, Kontaktdaten, Audioaufzeichnungen der Interviews sowie die daraus erstellten Transkripte.“</w:t>
            </w:r>
          </w:p>
          <w:p/>
          <w:p>
            <w:r>
              <w:t>„Im Rahmen einer Online-Befragung werden folgende personenbezogene Daten verarbeitet: IP-Adresse, Zeitpunkt der Teilnahme, Angaben im Fragebogen sowie freiwillig angegebene Kontaktdaten.“</w:t>
            </w:r>
          </w:p>
        </w:tc>
      </w:tr>
    </w:tbl>
    <w:p/>
    <w:p>
      <w:pPr>
        <w:pStyle w:val="berschrift2"/>
      </w:pPr>
      <w:r>
        <w:t>4. Zweck der Datenverarbeitung</w:t>
      </w:r>
    </w:p>
    <w:p>
      <w:r>
        <w:t xml:space="preserve">Hier ist anzugeben, zu welchem konkreten Zweck die personenbezogenen Daten verarbeitet werden. Die Beschreibung sollte für die betroffenen Personen verständlich und möglichst präzise sein. Der Zweck muss erkennen lassen, warum die Daten benötigt werden und wofür sie verwendet werden.Bei verschiedenen Verarbeitungszwecken müssen Sie evtl. nach Daten(-kategorien) differenzieren. </w:t>
      </w:r>
    </w:p>
    <w:tbl>
      <w:tblPr>
        <w:tblStyle w:val="Tabellenraster"/>
        <w:tblW w:w="0" w:type="auto"/>
        <w:tblLook w:val="04A0" w:firstRow="1" w:lastRow="0" w:firstColumn="1" w:lastColumn="0" w:noHBand="0" w:noVBand="1"/>
      </w:tblPr>
      <w:tblGrid>
        <w:gridCol w:w="1838"/>
        <w:gridCol w:w="7224"/>
      </w:tblGrid>
      <w:tr>
        <w:tc>
          <w:tcPr>
            <w:tcW w:w="1838" w:type="dxa"/>
            <w:shd w:val="clear" w:color="auto" w:fill="FFC40A" w:themeFill="text2"/>
            <w:vAlign w:val="center"/>
          </w:tcPr>
          <w:p>
            <w:pPr>
              <w:jc w:val="center"/>
              <w:rPr>
                <w:b/>
              </w:rPr>
            </w:pPr>
            <w:r>
              <w:rPr>
                <w:b/>
              </w:rPr>
              <w:t>Verantwortliche Stelle/Person</w:t>
            </w:r>
          </w:p>
        </w:tc>
        <w:tc>
          <w:tcPr>
            <w:tcW w:w="7224" w:type="dxa"/>
            <w:shd w:val="clear" w:color="auto" w:fill="FFC40A" w:themeFill="text2"/>
            <w:vAlign w:val="center"/>
          </w:tcPr>
          <w:p>
            <w:pPr>
              <w:jc w:val="center"/>
              <w:rPr>
                <w:b/>
              </w:rPr>
            </w:pPr>
            <w:r>
              <w:rPr>
                <w:b/>
              </w:rPr>
              <w:t>Formulierungsbeispiel</w:t>
            </w:r>
          </w:p>
        </w:tc>
      </w:tr>
      <w:tr>
        <w:tc>
          <w:tcPr>
            <w:tcW w:w="1838" w:type="dxa"/>
            <w:shd w:val="clear" w:color="auto" w:fill="FFF3CE" w:themeFill="text2" w:themeFillTint="33"/>
          </w:tcPr>
          <w:p>
            <w:r>
              <w:t xml:space="preserve">PH Heidelberg </w:t>
            </w:r>
          </w:p>
        </w:tc>
        <w:tc>
          <w:tcPr>
            <w:tcW w:w="7224" w:type="dxa"/>
          </w:tcPr>
          <w:p>
            <w:r>
              <w:t>„Die Verarbeitung erfolgt zur Durchführung einer wissenschaftlichen Studie über X.“</w:t>
            </w:r>
          </w:p>
          <w:p/>
          <w:p>
            <w:r>
              <w:t>„Die Verarbeitung erfolgt zur Untersuchung von X.“</w:t>
            </w:r>
          </w:p>
          <w:p/>
          <w:p>
            <w:r>
              <w:t>„Die Verarbeitung erfolgt zur Erforschung des Zusammenhangs zwischen X und Y.“</w:t>
            </w:r>
          </w:p>
          <w:p/>
          <w:p>
            <w:r>
              <w:t>„Die Verarbeitung erfolgt zur Durchführung und Auswertung einer Online-Befragung im Rahmen eines Forschungsprojekts.“</w:t>
            </w:r>
          </w:p>
          <w:p/>
          <w:p>
            <w:r>
              <w:t>„Die Verarbeitung erfolgt zur Durchführung, Dokumentation und wissenschaftlichen Auswertung von Interviews.“</w:t>
            </w:r>
          </w:p>
          <w:p/>
          <w:p>
            <w:r>
              <w:t>„Die Verarbeitung erfolgt zur Durchführung des Bewerbungsverfahrens.“</w:t>
            </w:r>
          </w:p>
          <w:p/>
          <w:p>
            <w:r>
              <w:t>„Die Verarbeitung erfolgt zur Organisation und Durchführung von Lehrveranstaltungen und Prüfungen.“</w:t>
            </w:r>
          </w:p>
          <w:p/>
          <w:p>
            <w:r>
              <w:t>„Die Verarbeitung erfolgt zur Bereitstellung und sicheren Nutzung von IT-Diensten der Hochschule.“</w:t>
            </w:r>
          </w:p>
        </w:tc>
      </w:tr>
      <w:tr>
        <w:tc>
          <w:tcPr>
            <w:tcW w:w="1838" w:type="dxa"/>
            <w:shd w:val="clear" w:color="auto" w:fill="FFF3CE" w:themeFill="text2" w:themeFillTint="33"/>
          </w:tcPr>
          <w:p>
            <w:r>
              <w:t>Studierende:r</w:t>
            </w:r>
          </w:p>
          <w:p/>
          <w:p/>
        </w:tc>
        <w:tc>
          <w:tcPr>
            <w:tcW w:w="7224" w:type="dxa"/>
          </w:tcPr>
          <w:p>
            <w:r>
              <w:t>„Die Verarbeitung erfolgt zur Durchführung einer wissenschaftlichen Studie über X.“</w:t>
            </w:r>
          </w:p>
          <w:p/>
          <w:p>
            <w:r>
              <w:t>„Die Verarbeitung erfolgt zur Untersuchung von X.“</w:t>
            </w:r>
          </w:p>
          <w:p/>
          <w:p>
            <w:r>
              <w:t>„Die Verarbeitung erfolgt zur Erforschung des Zusammenhangs zwischen X und Y.“</w:t>
            </w:r>
          </w:p>
          <w:p/>
          <w:p>
            <w:r>
              <w:t>„Die Verarbeitung erfolgt zur Durchführung und Auswertung einer Online-Befragung im Rahmen eines Forschungsprojekts.“</w:t>
            </w:r>
          </w:p>
          <w:p/>
          <w:p>
            <w:r>
              <w:t>„Die Verarbeitung erfolgt zur Durchführung, Dokumentation und wissenschaftlichen Auswertung von Interviews.“</w:t>
            </w:r>
          </w:p>
        </w:tc>
      </w:tr>
    </w:tbl>
    <w:p/>
    <w:p/>
    <w:p>
      <w:pPr>
        <w:pStyle w:val="berschrift2"/>
      </w:pPr>
      <w:r>
        <w:t xml:space="preserve">5. Rechtsgrundlage der Datenverarbeitung </w:t>
      </w:r>
    </w:p>
    <w:p>
      <w:r>
        <w:t>Personenbezogene Daten dürfen nur verarbeitet werden, wenn hierfür eine Rechtsgrundlage besteht. Die für die jeweilige Verarbeitung einschlägige Rechtsgrundlage ist konkret zu benennen.</w:t>
      </w:r>
    </w:p>
    <w:p>
      <w:r>
        <w:t>Je nach Verarbeitung kommen insbesondere folgende Rechtsgrundlagen in Betracht:</w:t>
      </w:r>
    </w:p>
    <w:p>
      <w:pPr>
        <w:numPr>
          <w:ilvl w:val="0"/>
          <w:numId w:val="27"/>
        </w:numPr>
      </w:pPr>
      <w:r>
        <w:t>Einwilligung der betroffenen Person, Art. 6 Abs. 1 lit. a DSGVO</w:t>
      </w:r>
    </w:p>
    <w:p>
      <w:pPr>
        <w:numPr>
          <w:ilvl w:val="0"/>
          <w:numId w:val="27"/>
        </w:numPr>
      </w:pPr>
      <w:r>
        <w:t>Erfüllung einer rechtlichen Verpflichtung, der die Hochschule unterliegt, Art. 6 Abs. 1 lit. c DSGVO</w:t>
      </w:r>
    </w:p>
    <w:p>
      <w:pPr>
        <w:numPr>
          <w:ilvl w:val="0"/>
          <w:numId w:val="27"/>
        </w:numPr>
      </w:pPr>
      <w:r>
        <w:t>Wahrnehmung einer Aufgabe im öffentlichen Interesse oder in Ausübung öffentlicher Gewalt, Art. 6 Abs. 1 lit. e, Abs. 3 DSGVO in Verbindung mit einer gesetzlichen Grundlage, insbesondere</w:t>
      </w:r>
    </w:p>
    <w:p>
      <w:pPr>
        <w:numPr>
          <w:ilvl w:val="1"/>
          <w:numId w:val="27"/>
        </w:numPr>
      </w:pPr>
      <w:r>
        <w:t>§§ 4, 13 oder 15 Landesdatenschutzgesetz (LDSG),</w:t>
      </w:r>
    </w:p>
    <w:p>
      <w:pPr>
        <w:numPr>
          <w:ilvl w:val="1"/>
          <w:numId w:val="27"/>
        </w:numPr>
      </w:pPr>
      <w:r>
        <w:t>§§ 5, 12, 13 oder 32a Landeshochschulgesetz (LHG),</w:t>
      </w:r>
    </w:p>
    <w:p>
      <w:pPr>
        <w:numPr>
          <w:ilvl w:val="1"/>
          <w:numId w:val="27"/>
        </w:numPr>
      </w:pPr>
      <w:r>
        <w:t>sonstigen einschlägigen Fachgesetzen,</w:t>
      </w:r>
    </w:p>
    <w:p>
      <w:pPr>
        <w:numPr>
          <w:ilvl w:val="1"/>
          <w:numId w:val="27"/>
        </w:numPr>
      </w:pPr>
      <w:r>
        <w:t>Satzungen der Hochschule (z. B. Datenschutzsatzung, Evaluationssatzung oder andere hochschulrechtliche Satzungen),</w:t>
      </w:r>
    </w:p>
    <w:p>
      <w:r>
        <w:rPr>
          <w:b/>
          <w:bCs/>
        </w:rPr>
        <w:t>Hinweis:</w:t>
      </w:r>
      <w:r>
        <w:t xml:space="preserve"> Werden besondere Kategorien personenbezogener Daten (z. B. Gesundheitsdaten, Daten zur ethnischen Herkunft, religiösen Überzeugungen oder politischen Meinungen) verarbeitet, ist zusätzlich eine Rechtsgrundlage nach Art. 9 Abs. 2 DSGVO anzugeben.</w:t>
      </w:r>
    </w:p>
    <w:p/>
    <w:tbl>
      <w:tblPr>
        <w:tblStyle w:val="Tabellenraster"/>
        <w:tblW w:w="0" w:type="auto"/>
        <w:tblLook w:val="04A0" w:firstRow="1" w:lastRow="0" w:firstColumn="1" w:lastColumn="0" w:noHBand="0" w:noVBand="1"/>
      </w:tblPr>
      <w:tblGrid>
        <w:gridCol w:w="3964"/>
        <w:gridCol w:w="5098"/>
      </w:tblGrid>
      <w:tr>
        <w:tc>
          <w:tcPr>
            <w:tcW w:w="3964" w:type="dxa"/>
            <w:shd w:val="clear" w:color="auto" w:fill="FFC40A" w:themeFill="text2"/>
            <w:vAlign w:val="center"/>
          </w:tcPr>
          <w:p>
            <w:pPr>
              <w:jc w:val="center"/>
              <w:rPr>
                <w:b/>
              </w:rPr>
            </w:pPr>
            <w:r>
              <w:rPr>
                <w:b/>
              </w:rPr>
              <w:t>Datenverarbeitung</w:t>
            </w:r>
          </w:p>
        </w:tc>
        <w:tc>
          <w:tcPr>
            <w:tcW w:w="5098" w:type="dxa"/>
            <w:shd w:val="clear" w:color="auto" w:fill="FFC40A" w:themeFill="text2"/>
            <w:vAlign w:val="center"/>
          </w:tcPr>
          <w:p>
            <w:pPr>
              <w:jc w:val="center"/>
              <w:rPr>
                <w:b/>
              </w:rPr>
            </w:pPr>
            <w:r>
              <w:rPr>
                <w:b/>
              </w:rPr>
              <w:t>Rechtsgrundlage</w:t>
            </w:r>
          </w:p>
        </w:tc>
      </w:tr>
      <w:tr>
        <w:tc>
          <w:tcPr>
            <w:tcW w:w="3964" w:type="dxa"/>
            <w:shd w:val="clear" w:color="auto" w:fill="FFF3CE" w:themeFill="text2" w:themeFillTint="33"/>
          </w:tcPr>
          <w:p>
            <w:r>
              <w:t xml:space="preserve">Freiwillige Teilnahme an einer Forschungsumfrage </w:t>
            </w:r>
          </w:p>
        </w:tc>
        <w:tc>
          <w:tcPr>
            <w:tcW w:w="5098" w:type="dxa"/>
          </w:tcPr>
          <w:p>
            <w:r>
              <w:t>„Die Verarbeitung Ihrer personenbezogenen Daten erfolgt auf Grundlage Ihrer Einwilligung gemäß Art. 6 Abs. 1 lit. a DSGVO“</w:t>
            </w:r>
          </w:p>
        </w:tc>
      </w:tr>
      <w:tr>
        <w:tc>
          <w:tcPr>
            <w:tcW w:w="3964" w:type="dxa"/>
            <w:shd w:val="clear" w:color="auto" w:fill="FFF3CE" w:themeFill="text2" w:themeFillTint="33"/>
          </w:tcPr>
          <w:p>
            <w:r>
              <w:t>Durchführung und Auswertung von Interviews auf Grundlage einer Einwilligung</w:t>
            </w:r>
          </w:p>
        </w:tc>
        <w:tc>
          <w:tcPr>
            <w:tcW w:w="5098" w:type="dxa"/>
          </w:tcPr>
          <w:p>
            <w:r>
              <w:t>Art. 6 Abs. 1 lit. a DSGVO</w:t>
            </w:r>
          </w:p>
        </w:tc>
      </w:tr>
      <w:tr>
        <w:tc>
          <w:tcPr>
            <w:tcW w:w="3964" w:type="dxa"/>
            <w:shd w:val="clear" w:color="auto" w:fill="FFF3CE" w:themeFill="text2" w:themeFillTint="33"/>
          </w:tcPr>
          <w:p>
            <w:r>
              <w:t>Verarbeitung von Gesundheitsdaten in einer Studie auf Grundlage einer Einwilligung</w:t>
            </w:r>
          </w:p>
        </w:tc>
        <w:tc>
          <w:tcPr>
            <w:tcW w:w="5098" w:type="dxa"/>
          </w:tcPr>
          <w:p>
            <w:r>
              <w:t>Art. 6 Abs. 1 lit. a DSGVO in Verbindung mit (iVm) Art. 9 Abs. 2 lit. a DSGVO</w:t>
            </w:r>
          </w:p>
        </w:tc>
      </w:tr>
      <w:tr>
        <w:tc>
          <w:tcPr>
            <w:tcW w:w="3964" w:type="dxa"/>
            <w:shd w:val="clear" w:color="auto" w:fill="FFF3CE" w:themeFill="text2" w:themeFillTint="33"/>
          </w:tcPr>
          <w:p>
            <w:r>
              <w:lastRenderedPageBreak/>
              <w:t>Erfüllung gesetzlicher Aufbewahrungs- oder Meldepflichten</w:t>
            </w:r>
          </w:p>
        </w:tc>
        <w:tc>
          <w:tcPr>
            <w:tcW w:w="5098" w:type="dxa"/>
          </w:tcPr>
          <w:p>
            <w:r>
              <w:t>Art. 6 Abs. 1 lit. c DSGVO</w:t>
            </w:r>
          </w:p>
        </w:tc>
      </w:tr>
      <w:tr>
        <w:tc>
          <w:tcPr>
            <w:tcW w:w="3964" w:type="dxa"/>
            <w:shd w:val="clear" w:color="auto" w:fill="FFF3CE" w:themeFill="text2" w:themeFillTint="33"/>
          </w:tcPr>
          <w:p>
            <w:r>
              <w:t xml:space="preserve">Studierendenverwaltung </w:t>
            </w:r>
          </w:p>
        </w:tc>
        <w:tc>
          <w:tcPr>
            <w:tcW w:w="5098" w:type="dxa"/>
          </w:tcPr>
          <w:p>
            <w:r>
              <w:t>Art. 6 Abs. 1 lit. e, Abs. 3 DSGVO iVm § 12 Abs. 1 LHG</w:t>
            </w:r>
          </w:p>
        </w:tc>
      </w:tr>
      <w:tr>
        <w:tc>
          <w:tcPr>
            <w:tcW w:w="3964" w:type="dxa"/>
            <w:shd w:val="clear" w:color="auto" w:fill="FFF3CE" w:themeFill="text2" w:themeFillTint="33"/>
          </w:tcPr>
          <w:p>
            <w:r>
              <w:t xml:space="preserve">Durchführung von Lehrveranstaltungsevaluationen </w:t>
            </w:r>
          </w:p>
        </w:tc>
        <w:tc>
          <w:tcPr>
            <w:tcW w:w="5098" w:type="dxa"/>
          </w:tcPr>
          <w:p>
            <w:r>
              <w:t xml:space="preserve">Art. 6 Abs. 1 lit. e, Abs. 3 DSGVO iVm § 5 LHG iVm Evaluationssatzung </w:t>
            </w:r>
          </w:p>
        </w:tc>
      </w:tr>
      <w:tr>
        <w:tc>
          <w:tcPr>
            <w:tcW w:w="3964" w:type="dxa"/>
            <w:shd w:val="clear" w:color="auto" w:fill="FFF3CE" w:themeFill="text2" w:themeFillTint="33"/>
          </w:tcPr>
          <w:p>
            <w:r>
              <w:t>Teilnehmende erhalten eine Vergütung, hierbei entstehen Haushaltsunterlagen</w:t>
            </w:r>
          </w:p>
          <w:p>
            <w:pPr>
              <w:tabs>
                <w:tab w:val="left" w:pos="1094"/>
              </w:tabs>
            </w:pPr>
            <w:r>
              <w:tab/>
            </w:r>
          </w:p>
        </w:tc>
        <w:tc>
          <w:tcPr>
            <w:tcW w:w="5098" w:type="dxa"/>
          </w:tcPr>
          <w:p>
            <w:r>
              <w:t>Art. 6 Abs. 1 lit. e iVm Art. 6 Abs. 3 DSGVO iVm § 13 Abs.1 LDSG BW, Art. 6 Abs. 1 lit. c iVm §§ 70, 75 Landeshaushaltsordnung</w:t>
            </w:r>
          </w:p>
        </w:tc>
      </w:tr>
    </w:tbl>
    <w:p/>
    <w:p>
      <w:pPr>
        <w:pStyle w:val="berschrift2"/>
      </w:pPr>
      <w:r>
        <w:t xml:space="preserve">6. Angabe von Daten und Folgen der Nicht-Bereitstellung  </w:t>
      </w:r>
    </w:p>
    <w:p>
      <w:r>
        <w:t>Hier ist anzugeben, auf welcher Grundlage die betroffenen Personen Ihnen die personenbezogenen Daten bereitstellen.</w:t>
      </w:r>
    </w:p>
    <w:p>
      <w:r>
        <w:t>Prüfen Sie, ob die Bereitstellung der Daten</w:t>
      </w:r>
    </w:p>
    <w:p>
      <w:pPr>
        <w:numPr>
          <w:ilvl w:val="0"/>
          <w:numId w:val="28"/>
        </w:numPr>
      </w:pPr>
      <w:r>
        <w:t xml:space="preserve">freiwillig erfolgt, </w:t>
      </w:r>
    </w:p>
    <w:p>
      <w:pPr>
        <w:numPr>
          <w:ilvl w:val="0"/>
          <w:numId w:val="28"/>
        </w:numPr>
      </w:pPr>
      <w:r>
        <w:t xml:space="preserve">gesetzlich vorgeschrieben ist, </w:t>
      </w:r>
    </w:p>
    <w:p>
      <w:pPr>
        <w:numPr>
          <w:ilvl w:val="0"/>
          <w:numId w:val="28"/>
        </w:numPr>
      </w:pPr>
      <w:r>
        <w:t xml:space="preserve">vertraglich vorgeschrieben ist oder </w:t>
      </w:r>
    </w:p>
    <w:p>
      <w:pPr>
        <w:numPr>
          <w:ilvl w:val="0"/>
          <w:numId w:val="28"/>
        </w:numPr>
      </w:pPr>
      <w:r>
        <w:t xml:space="preserve">für den Abschluss bzw. die Durchführung eines Vertrags erforderlich ist. </w:t>
      </w:r>
    </w:p>
    <w:p>
      <w:r>
        <w:t>Beschreiben Sie anschließend die Folgen, die eintreten, wenn die betroffene Person die angeforderten Daten nicht bereitstellt. Die Folgen müssen sich auf den konkreten Verarbeitungszweck beziehen.</w:t>
      </w:r>
    </w:p>
    <w:p>
      <w:r>
        <w:t xml:space="preserve"> </w:t>
      </w:r>
    </w:p>
    <w:tbl>
      <w:tblPr>
        <w:tblStyle w:val="Tabellenraster"/>
        <w:tblW w:w="0" w:type="auto"/>
        <w:tblLook w:val="04A0" w:firstRow="1" w:lastRow="0" w:firstColumn="1" w:lastColumn="0" w:noHBand="0" w:noVBand="1"/>
      </w:tblPr>
      <w:tblGrid>
        <w:gridCol w:w="1948"/>
        <w:gridCol w:w="7114"/>
      </w:tblGrid>
      <w:tr>
        <w:tc>
          <w:tcPr>
            <w:tcW w:w="1948" w:type="dxa"/>
            <w:shd w:val="clear" w:color="auto" w:fill="FFC40A" w:themeFill="text2"/>
            <w:vAlign w:val="center"/>
          </w:tcPr>
          <w:p>
            <w:pPr>
              <w:jc w:val="center"/>
              <w:rPr>
                <w:b/>
              </w:rPr>
            </w:pPr>
            <w:r>
              <w:rPr>
                <w:b/>
              </w:rPr>
              <w:t>Datenverarbeitung</w:t>
            </w:r>
          </w:p>
        </w:tc>
        <w:tc>
          <w:tcPr>
            <w:tcW w:w="7114" w:type="dxa"/>
            <w:shd w:val="clear" w:color="auto" w:fill="FFC40A" w:themeFill="text2"/>
            <w:vAlign w:val="center"/>
          </w:tcPr>
          <w:p>
            <w:pPr>
              <w:jc w:val="center"/>
              <w:rPr>
                <w:b/>
              </w:rPr>
            </w:pPr>
            <w:r>
              <w:rPr>
                <w:b/>
              </w:rPr>
              <w:t>Formulierungsbeispiel</w:t>
            </w:r>
          </w:p>
        </w:tc>
      </w:tr>
      <w:tr>
        <w:tc>
          <w:tcPr>
            <w:tcW w:w="1948" w:type="dxa"/>
            <w:shd w:val="clear" w:color="auto" w:fill="FFF3CE" w:themeFill="text2" w:themeFillTint="33"/>
          </w:tcPr>
          <w:p>
            <w:pPr>
              <w:rPr>
                <w:b/>
              </w:rPr>
            </w:pPr>
            <w:r>
              <w:rPr>
                <w:b/>
              </w:rPr>
              <w:t xml:space="preserve"> Freiwillige Angabe und keine negativen Folgen </w:t>
            </w:r>
          </w:p>
        </w:tc>
        <w:tc>
          <w:tcPr>
            <w:tcW w:w="7114" w:type="dxa"/>
          </w:tcPr>
          <w:p>
            <w:r>
              <w:t>„Die Bereitstellung der personenbezogenen Daten erfolgt freiwillig aufgrund Ihrer Einwilligung. Ihnen entstehen keine Nachteile, wenn Sie Ihre Daten nicht angeben.“</w:t>
            </w:r>
          </w:p>
        </w:tc>
      </w:tr>
      <w:tr>
        <w:tc>
          <w:tcPr>
            <w:tcW w:w="1948" w:type="dxa"/>
            <w:shd w:val="clear" w:color="auto" w:fill="FFF3CE" w:themeFill="text2" w:themeFillTint="33"/>
          </w:tcPr>
          <w:p>
            <w:pPr>
              <w:rPr>
                <w:b/>
              </w:rPr>
            </w:pPr>
            <w:r>
              <w:rPr>
                <w:b/>
              </w:rPr>
              <w:t xml:space="preserve">Freiwillige Angabe, aber Bereitstellung ist für das Projekt erforderlich </w:t>
            </w:r>
          </w:p>
        </w:tc>
        <w:tc>
          <w:tcPr>
            <w:tcW w:w="7114" w:type="dxa"/>
          </w:tcPr>
          <w:p>
            <w:r>
              <w:t xml:space="preserve">„Die Angabe der Daten ist für die Durchführung des Projektes erforderlich. Daher ist ohne Angabe der Daten eine Teilnahme an dem Projekt nicht möglich. Für Sie entstehen jedoch keine Nachteile im Falle einer Nicht-Teilnahme.“  </w:t>
            </w:r>
          </w:p>
        </w:tc>
      </w:tr>
      <w:tr>
        <w:tc>
          <w:tcPr>
            <w:tcW w:w="1948" w:type="dxa"/>
            <w:shd w:val="clear" w:color="auto" w:fill="FFF3CE" w:themeFill="text2" w:themeFillTint="33"/>
          </w:tcPr>
          <w:p>
            <w:pPr>
              <w:rPr>
                <w:b/>
              </w:rPr>
            </w:pPr>
            <w:r>
              <w:rPr>
                <w:b/>
              </w:rPr>
              <w:t xml:space="preserve">Gesetzliche Pflicht zur Angabe der Daten </w:t>
            </w:r>
          </w:p>
        </w:tc>
        <w:tc>
          <w:tcPr>
            <w:tcW w:w="7114" w:type="dxa"/>
          </w:tcPr>
          <w:p>
            <w:r>
              <w:t xml:space="preserve">„Sie sind gesetzlich verpflichtet, die Daten anzugeben.“ </w:t>
            </w:r>
          </w:p>
        </w:tc>
      </w:tr>
    </w:tbl>
    <w:p/>
    <w:p>
      <w:pPr>
        <w:pStyle w:val="berschrift2"/>
      </w:pPr>
      <w:r>
        <w:t>7. Dauer der Datenverarbeitung</w:t>
      </w:r>
    </w:p>
    <w:p>
      <w:r>
        <w:t xml:space="preserve">Bereits vor Beginn der Datenverarbeitung muss feststehen, wann die Daten gelöscht werden. </w:t>
      </w:r>
    </w:p>
    <w:p>
      <w:r>
        <w:t xml:space="preserve">Die konkrete Löschfrist können Sie wie folgt ermitteln: </w:t>
      </w:r>
    </w:p>
    <w:p>
      <w:pPr>
        <w:pStyle w:val="Listenabsatz"/>
        <w:numPr>
          <w:ilvl w:val="0"/>
          <w:numId w:val="25"/>
        </w:numPr>
      </w:pPr>
      <w:r>
        <w:t xml:space="preserve">Wie lange erfordert der konkrete Verarbeitungszweck eine Speicherung bzw. Verarbeitung der Daten(-kategorie)? </w:t>
      </w:r>
    </w:p>
    <w:p>
      <w:pPr>
        <w:pStyle w:val="Listenabsatz"/>
        <w:numPr>
          <w:ilvl w:val="0"/>
          <w:numId w:val="25"/>
        </w:numPr>
      </w:pPr>
      <w:r>
        <w:t xml:space="preserve">Gibt es gesetzliche Dokumentations- oder Aufbewahrungspflichten, die eine längere Speicherung der Datenkategorie erforderlich machen? Wenn ja, darf über die Zweckerfüllung </w:t>
      </w:r>
      <w:r>
        <w:lastRenderedPageBreak/>
        <w:t>hinaus bis zum Ablauf der gesetzlichen Frist (ggf. zuzüglich eines angemessenen, praxisgerechten „Sicherheitszuschlag“) gespeichert werden.</w:t>
      </w:r>
    </w:p>
    <w:p>
      <w:r>
        <w:t xml:space="preserve">Falls keine konkrete Frist genannt werden kann, müssen Sie die Kriterien für die Festlegung der Speicherdauer angeben. </w:t>
      </w:r>
    </w:p>
    <w:tbl>
      <w:tblPr>
        <w:tblStyle w:val="Tabellenraster"/>
        <w:tblW w:w="0" w:type="auto"/>
        <w:tblLook w:val="04A0" w:firstRow="1" w:lastRow="0" w:firstColumn="1" w:lastColumn="0" w:noHBand="0" w:noVBand="1"/>
      </w:tblPr>
      <w:tblGrid>
        <w:gridCol w:w="1948"/>
        <w:gridCol w:w="7114"/>
      </w:tblGrid>
      <w:tr>
        <w:tc>
          <w:tcPr>
            <w:tcW w:w="1948" w:type="dxa"/>
            <w:shd w:val="clear" w:color="auto" w:fill="FFC40A" w:themeFill="text2"/>
            <w:vAlign w:val="center"/>
          </w:tcPr>
          <w:p>
            <w:pPr>
              <w:jc w:val="center"/>
              <w:rPr>
                <w:b/>
              </w:rPr>
            </w:pPr>
            <w:bookmarkStart w:id="1" w:name="_Hlk231219280"/>
            <w:r>
              <w:rPr>
                <w:b/>
              </w:rPr>
              <w:t>Löschfrist</w:t>
            </w:r>
          </w:p>
        </w:tc>
        <w:tc>
          <w:tcPr>
            <w:tcW w:w="7114" w:type="dxa"/>
            <w:shd w:val="clear" w:color="auto" w:fill="FFC40A" w:themeFill="text2"/>
            <w:vAlign w:val="center"/>
          </w:tcPr>
          <w:p>
            <w:pPr>
              <w:jc w:val="center"/>
              <w:rPr>
                <w:b/>
              </w:rPr>
            </w:pPr>
            <w:r>
              <w:rPr>
                <w:b/>
              </w:rPr>
              <w:t>Formulierungsbeispiel</w:t>
            </w:r>
          </w:p>
        </w:tc>
      </w:tr>
      <w:tr>
        <w:tc>
          <w:tcPr>
            <w:tcW w:w="1948" w:type="dxa"/>
            <w:shd w:val="clear" w:color="auto" w:fill="FFF3CE" w:themeFill="text2" w:themeFillTint="33"/>
          </w:tcPr>
          <w:p>
            <w:pPr>
              <w:rPr>
                <w:b/>
              </w:rPr>
            </w:pPr>
            <w:r>
              <w:rPr>
                <w:b/>
              </w:rPr>
              <w:t xml:space="preserve">Konkrete Frist </w:t>
            </w:r>
          </w:p>
        </w:tc>
        <w:tc>
          <w:tcPr>
            <w:tcW w:w="7114" w:type="dxa"/>
          </w:tcPr>
          <w:p>
            <w:r>
              <w:t>„Ihre Daten werden nach Erhebung für/ längstens bis … gespeichert.“</w:t>
            </w:r>
          </w:p>
        </w:tc>
      </w:tr>
      <w:tr>
        <w:tc>
          <w:tcPr>
            <w:tcW w:w="1948" w:type="dxa"/>
            <w:shd w:val="clear" w:color="auto" w:fill="FFF3CE" w:themeFill="text2" w:themeFillTint="33"/>
          </w:tcPr>
          <w:p>
            <w:pPr>
              <w:rPr>
                <w:b/>
              </w:rPr>
            </w:pPr>
            <w:r>
              <w:rPr>
                <w:b/>
              </w:rPr>
              <w:t xml:space="preserve">Keine konkrete Frist </w:t>
            </w:r>
          </w:p>
        </w:tc>
        <w:tc>
          <w:tcPr>
            <w:tcW w:w="7114" w:type="dxa"/>
          </w:tcPr>
          <w:p>
            <w:r>
              <w:t>„Ihre Daten werden nach der Erhebung so lange gespeichert, wie dies unter Beachtung gesetzlicher Aufbewahrungsfristen zur Erfüllung der oben genannten Zwecke erforderlich ist und danach unverzüglich gelöscht.“</w:t>
            </w:r>
          </w:p>
        </w:tc>
      </w:tr>
      <w:bookmarkEnd w:id="1"/>
    </w:tbl>
    <w:p/>
    <w:p>
      <w:pPr>
        <w:pStyle w:val="berschrift2"/>
      </w:pPr>
      <w:r>
        <w:t xml:space="preserve">8. Empfänger der personenbezogenen Daten </w:t>
      </w:r>
    </w:p>
    <w:p>
      <w:r>
        <w:t>Hier sind alle Empfänger bzw. Kategorien von Empfängern anzugeben, denen die personenbezogenen Daten offengelegt werden oder die Zugriff auf die Daten erhalten.</w:t>
      </w:r>
    </w:p>
    <w:p>
      <w:r>
        <w:t>Als Empfänger gelten sowohl Stellen innerhalb der Hochschule als auch externe Stellen, soweit diese die personenbezogenen Daten zur Erfüllung ihrer Aufgaben erhalten.</w:t>
      </w:r>
    </w:p>
    <w:p>
      <w:r>
        <w:t>Geben Sie möglichst die konkreten Empfänger an. Ist dies nicht möglich oder nicht praktikabel, können stattdessen Kategorien von Empfängern genannt werden.</w:t>
      </w:r>
    </w:p>
    <w:p>
      <w:r>
        <w:t>Berücksichtigen Sie insbesondere:</w:t>
      </w:r>
    </w:p>
    <w:p>
      <w:pPr>
        <w:numPr>
          <w:ilvl w:val="0"/>
          <w:numId w:val="29"/>
        </w:numPr>
      </w:pPr>
      <w:r>
        <w:t xml:space="preserve">zuständige Organisationseinheiten innerhalb der Hochschule (z. B. Fakultäten, Institute, Prüfungsverwaltung, Personalverwaltung, Rechenzentrum), </w:t>
      </w:r>
    </w:p>
    <w:p>
      <w:pPr>
        <w:numPr>
          <w:ilvl w:val="0"/>
          <w:numId w:val="29"/>
        </w:numPr>
      </w:pPr>
      <w:r>
        <w:t xml:space="preserve">Projektpartner und Kooperationspartner, </w:t>
      </w:r>
    </w:p>
    <w:p>
      <w:pPr>
        <w:numPr>
          <w:ilvl w:val="0"/>
          <w:numId w:val="29"/>
        </w:numPr>
      </w:pPr>
      <w:r>
        <w:t xml:space="preserve">Fördermittelgeber, </w:t>
      </w:r>
    </w:p>
    <w:p>
      <w:pPr>
        <w:numPr>
          <w:ilvl w:val="0"/>
          <w:numId w:val="29"/>
        </w:numPr>
      </w:pPr>
      <w:r>
        <w:t xml:space="preserve">Auftragsverarbeiter (z. B. Hosting-, Cloud-, Umfrage- oder Videokonferenzdienstleister), </w:t>
      </w:r>
    </w:p>
    <w:p>
      <w:pPr>
        <w:numPr>
          <w:ilvl w:val="0"/>
          <w:numId w:val="29"/>
        </w:numPr>
      </w:pPr>
      <w:r>
        <w:t xml:space="preserve">IT-Dienstleister und Softwareanbieter. </w:t>
      </w:r>
    </w:p>
    <w:p>
      <w:r>
        <w:t>Werden keine personenbezogenen Daten an andere Stellen weitergegeben und haben ausschließlich die unmittelbar mit dem Projekt befassten Personen Zugriff auf die Daten, sollte dies ebenfalls angegeben werden.</w:t>
      </w:r>
    </w:p>
    <w:p/>
    <w:p>
      <w:pPr>
        <w:pStyle w:val="berschrift2"/>
      </w:pPr>
      <w:r>
        <w:t xml:space="preserve">9. Ggf. Übermittlung der Daten an ein Drittland </w:t>
      </w:r>
    </w:p>
    <w:p>
      <w:r>
        <w:t xml:space="preserve">Hier ist anzugeben, ob personenbezogene Daten in ein Drittland übermittelt werden. Ein Drittland im Sinne der DSGVO ist ein Staat außerhalb des räumlichen Anwendungsbereichs der DSGVO, insbesondere außerhalb von Europäischer Union (EU) und des Europäischen Wirtschaftsraums (EWR). </w:t>
      </w:r>
    </w:p>
    <w:p>
      <w:r>
        <w:t>Prüfen Sie insbesondere, ob im Rahmen des Projekts externe Dienstleister, Cloud-Dienste, Softwarelösungen oder Kooperationspartner eingesetzt werden, die Daten in einem Drittland verarbeiten oder auf diese zugreifen können.</w:t>
      </w:r>
    </w:p>
    <w:p>
      <w:r>
        <w:t>Sofern eine Drittlandübermittlung erfolgt, sind folgende Angaben aufzunehmen:</w:t>
      </w:r>
    </w:p>
    <w:p>
      <w:pPr>
        <w:numPr>
          <w:ilvl w:val="0"/>
          <w:numId w:val="30"/>
        </w:numPr>
      </w:pPr>
      <w:r>
        <w:lastRenderedPageBreak/>
        <w:t xml:space="preserve">das betreffende Drittland, </w:t>
      </w:r>
    </w:p>
    <w:p>
      <w:pPr>
        <w:numPr>
          <w:ilvl w:val="0"/>
          <w:numId w:val="30"/>
        </w:numPr>
      </w:pPr>
      <w:r>
        <w:t xml:space="preserve">die Rechtsgrundlage bzw. das geeignete Schutzniveau für die Übermittlung (z. B. Angemessenheitsbeschluss der Europäischen Kommission oder Standardvertragsklauseln), </w:t>
      </w:r>
    </w:p>
    <w:p>
      <w:pPr>
        <w:numPr>
          <w:ilvl w:val="0"/>
          <w:numId w:val="30"/>
        </w:numPr>
      </w:pPr>
      <w:r>
        <w:t xml:space="preserve">gegebenenfalls Hinweise darauf, wie weitere Informationen zu den geeigneten Garantien erhalten werden können. </w:t>
      </w:r>
    </w:p>
    <w:p>
      <w:r>
        <w:t>Erfolgt keine Übermittlung in ein Drittland und ist ein solcher Zugriff auch nicht vorgesehen, sollten Sie dies ausdrücklich angeben.</w:t>
      </w:r>
    </w:p>
    <w:tbl>
      <w:tblPr>
        <w:tblStyle w:val="Tabellenraster"/>
        <w:tblW w:w="0" w:type="auto"/>
        <w:tblLook w:val="04A0" w:firstRow="1" w:lastRow="0" w:firstColumn="1" w:lastColumn="0" w:noHBand="0" w:noVBand="1"/>
      </w:tblPr>
      <w:tblGrid>
        <w:gridCol w:w="2698"/>
        <w:gridCol w:w="6364"/>
      </w:tblGrid>
      <w:tr>
        <w:tc>
          <w:tcPr>
            <w:tcW w:w="1948" w:type="dxa"/>
            <w:shd w:val="clear" w:color="auto" w:fill="FFC40A" w:themeFill="text2"/>
            <w:vAlign w:val="center"/>
          </w:tcPr>
          <w:p>
            <w:pPr>
              <w:spacing w:after="160" w:line="259" w:lineRule="auto"/>
              <w:rPr>
                <w:b/>
              </w:rPr>
            </w:pPr>
          </w:p>
        </w:tc>
        <w:tc>
          <w:tcPr>
            <w:tcW w:w="7114" w:type="dxa"/>
            <w:shd w:val="clear" w:color="auto" w:fill="FFC40A" w:themeFill="text2"/>
            <w:vAlign w:val="center"/>
          </w:tcPr>
          <w:p>
            <w:pPr>
              <w:spacing w:after="160" w:line="259" w:lineRule="auto"/>
              <w:rPr>
                <w:b/>
              </w:rPr>
            </w:pPr>
            <w:r>
              <w:rPr>
                <w:b/>
              </w:rPr>
              <w:t>Formulierungsbeispiel</w:t>
            </w:r>
          </w:p>
        </w:tc>
      </w:tr>
      <w:tr>
        <w:tc>
          <w:tcPr>
            <w:tcW w:w="1948" w:type="dxa"/>
            <w:shd w:val="clear" w:color="auto" w:fill="FFF3CE" w:themeFill="text2" w:themeFillTint="33"/>
          </w:tcPr>
          <w:p>
            <w:pPr>
              <w:spacing w:after="160" w:line="259" w:lineRule="auto"/>
              <w:rPr>
                <w:b/>
              </w:rPr>
            </w:pPr>
            <w:r>
              <w:rPr>
                <w:b/>
              </w:rPr>
              <w:t>Keine Drittlandübermittlung</w:t>
            </w:r>
          </w:p>
        </w:tc>
        <w:tc>
          <w:tcPr>
            <w:tcW w:w="7114" w:type="dxa"/>
          </w:tcPr>
          <w:p>
            <w:pPr>
              <w:spacing w:after="160" w:line="259" w:lineRule="auto"/>
            </w:pPr>
            <w:r>
              <w:t>„Eine Übermittlung personenbezogener Daten an Empfänger in Staaten außerhalb der EU bzw. des EWR oder an internationale Organisationen findet nicht statt.“</w:t>
            </w:r>
          </w:p>
        </w:tc>
      </w:tr>
      <w:tr>
        <w:tc>
          <w:tcPr>
            <w:tcW w:w="1948" w:type="dxa"/>
            <w:shd w:val="clear" w:color="auto" w:fill="FFF3CE" w:themeFill="text2" w:themeFillTint="33"/>
          </w:tcPr>
          <w:p>
            <w:pPr>
              <w:spacing w:after="160" w:line="259" w:lineRule="auto"/>
              <w:rPr>
                <w:b/>
              </w:rPr>
            </w:pPr>
            <w:r>
              <w:rPr>
                <w:b/>
              </w:rPr>
              <w:t>Standardvertragsklauseln</w:t>
            </w:r>
          </w:p>
        </w:tc>
        <w:tc>
          <w:tcPr>
            <w:tcW w:w="7114" w:type="dxa"/>
          </w:tcPr>
          <w:p>
            <w:pPr>
              <w:spacing w:after="160" w:line="259" w:lineRule="auto"/>
            </w:pPr>
            <w:r>
              <w:t>„Personenbezogene Daten werden an einen Dienstleister in den USA übermittelt. Die Übermittlung erfolgt auf Grundlage der von der Europäischen Kommission erlassenen Standardvertragsklauseln.“</w:t>
            </w:r>
          </w:p>
        </w:tc>
      </w:tr>
      <w:tr>
        <w:tc>
          <w:tcPr>
            <w:tcW w:w="1948" w:type="dxa"/>
            <w:shd w:val="clear" w:color="auto" w:fill="FFF3CE" w:themeFill="text2" w:themeFillTint="33"/>
          </w:tcPr>
          <w:p>
            <w:pPr>
              <w:rPr>
                <w:b/>
              </w:rPr>
            </w:pPr>
            <w:r>
              <w:rPr>
                <w:b/>
              </w:rPr>
              <w:t xml:space="preserve">Angemessenheitsbeschluss </w:t>
            </w:r>
          </w:p>
        </w:tc>
        <w:tc>
          <w:tcPr>
            <w:tcW w:w="7114" w:type="dxa"/>
          </w:tcPr>
          <w:p>
            <w:r>
              <w:t>„Personenbezogene Daten werden an einen Empfänger in [Land] übermittelt. Für dieses Land exisitiert ein Angemessenheitsbeschluss der Europäischen Kommission.“</w:t>
            </w:r>
          </w:p>
        </w:tc>
      </w:tr>
    </w:tbl>
    <w:p>
      <w:pPr>
        <w:rPr>
          <w:color w:val="FF0000"/>
        </w:rPr>
      </w:pPr>
    </w:p>
    <w:p>
      <w:pPr>
        <w:pStyle w:val="berschrift2"/>
      </w:pPr>
      <w:r>
        <w:t xml:space="preserve">10. Ggf. Bestehen einer automatisierten Entscheidungsfindung </w:t>
      </w:r>
    </w:p>
    <w:p>
      <w:r>
        <w:t>Automatisierte Entscheidungen sind Entscheidungen, die ausschließlich auf einer automatisierten Verarbeitung beruhen und die rechtliche Wirkung für die betroffenen Personen entfalten oder sie in ähnlicher Weise erheblich beeinträchtigen, ohne jegliches menschliches Eingreifen (z.B. Automatische Ablehnung eines Online-Kreditantrags).</w:t>
      </w:r>
    </w:p>
    <w:p>
      <w:r>
        <w:t xml:space="preserve">Wenn keine automatisierte Entscheidungsfindung erfolgt, müssen Sie keine Angaben dazu machen. </w:t>
      </w:r>
    </w:p>
    <w:p>
      <w:pPr>
        <w:pStyle w:val="berschrift2"/>
      </w:pPr>
      <w:r>
        <w:t xml:space="preserve">11. Ihre Rechte  </w:t>
      </w:r>
    </w:p>
    <w:p>
      <w:r>
        <w:t xml:space="preserve">Dieser Abschnitt ist standardisiert und bereits fast vollständig vorgegeben. Bitte tragen Sie hier lediglich die verantwortliche Stelle ein. </w:t>
      </w:r>
    </w:p>
    <w:p>
      <w:r>
        <w:rPr>
          <w:b/>
          <w:bCs/>
        </w:rPr>
        <w:t>12. Unterschrift</w:t>
      </w:r>
      <w:r>
        <w:t xml:space="preserve"> </w:t>
      </w:r>
    </w:p>
    <w:p>
      <w:r>
        <w:t xml:space="preserve">Gemäß DSGVO müssen Sie sich den Erhalt der Datenschutzhinweise nicht unterschreiben lassen. Dies kann aber aus Nachweisgründen trotzdem empfehlenswert sein. </w:t>
      </w:r>
    </w:p>
    <w:p>
      <w:pPr>
        <w:tabs>
          <w:tab w:val="left" w:pos="1306"/>
        </w:tabs>
      </w:pPr>
    </w:p>
    <w:sectPr>
      <w:headerReference w:type="default" r:id="rId10"/>
      <w:footerReference w:type="default" r:id="rId11"/>
      <w:type w:val="continuous"/>
      <w:pgSz w:w="11906" w:h="16838"/>
      <w:pgMar w:top="1417" w:right="1417" w:bottom="1134"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0511115"/>
      <w:docPartObj>
        <w:docPartGallery w:val="Page Numbers (Bottom of Page)"/>
        <w:docPartUnique/>
      </w:docPartObj>
    </w:sdtPr>
    <w:sdtContent>
      <w:p>
        <w:pPr>
          <w:pStyle w:val="Fuzeile"/>
          <w:jc w:val="right"/>
        </w:pPr>
        <w:r>
          <w:fldChar w:fldCharType="begin"/>
        </w:r>
        <w:r>
          <w:instrText>PAGE   \* MERGEFORMAT</w:instrText>
        </w:r>
        <w:r>
          <w:fldChar w:fldCharType="separate"/>
        </w:r>
        <w:r>
          <w:t>2</w:t>
        </w:r>
        <w:r>
          <w:fldChar w:fldCharType="end"/>
        </w:r>
      </w:p>
    </w:sdtContent>
  </w:sdt>
  <w:p>
    <w:pPr>
      <w:pStyle w:val="Fuzeile"/>
      <w:tabs>
        <w:tab w:val="left" w:pos="6900"/>
      </w:tabs>
      <w:rPr>
        <w:color w:val="000000" w:themeColor="text1"/>
        <w:sz w:val="18"/>
      </w:rPr>
    </w:pPr>
    <w:r>
      <w:rPr>
        <w:color w:val="000000" w:themeColor="text1"/>
        <w:sz w:val="18"/>
      </w:rPr>
      <w:t>Stand: 28.08.2026 – V 1.4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Kopfzeile"/>
      <w:jc w:val="right"/>
    </w:pPr>
    <w:r>
      <w:rPr>
        <w:noProof/>
      </w:rPr>
      <w:drawing>
        <wp:inline distT="0" distB="0" distL="0" distR="0">
          <wp:extent cx="1800000" cy="729112"/>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0000" cy="72911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B30F6"/>
    <w:multiLevelType w:val="multilevel"/>
    <w:tmpl w:val="01D46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A94DBE"/>
    <w:multiLevelType w:val="hybridMultilevel"/>
    <w:tmpl w:val="8ACC38E0"/>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3D669F5"/>
    <w:multiLevelType w:val="multilevel"/>
    <w:tmpl w:val="33D04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554508"/>
    <w:multiLevelType w:val="multilevel"/>
    <w:tmpl w:val="F92826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857217C"/>
    <w:multiLevelType w:val="hybridMultilevel"/>
    <w:tmpl w:val="BAB8BF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089B6614"/>
    <w:multiLevelType w:val="hybridMultilevel"/>
    <w:tmpl w:val="8EF0F7E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0B3346D1"/>
    <w:multiLevelType w:val="hybridMultilevel"/>
    <w:tmpl w:val="1D18AA2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644671A"/>
    <w:multiLevelType w:val="hybridMultilevel"/>
    <w:tmpl w:val="2826C6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861018B"/>
    <w:multiLevelType w:val="hybridMultilevel"/>
    <w:tmpl w:val="A040579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C307BEC"/>
    <w:multiLevelType w:val="multilevel"/>
    <w:tmpl w:val="B9CE9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CC66DDB"/>
    <w:multiLevelType w:val="multilevel"/>
    <w:tmpl w:val="61B48A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E273FC3"/>
    <w:multiLevelType w:val="hybridMultilevel"/>
    <w:tmpl w:val="ABAA2EE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2AD4D46"/>
    <w:multiLevelType w:val="hybridMultilevel"/>
    <w:tmpl w:val="95AC74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66D2A70"/>
    <w:multiLevelType w:val="multilevel"/>
    <w:tmpl w:val="67DA8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68B3AB4"/>
    <w:multiLevelType w:val="hybridMultilevel"/>
    <w:tmpl w:val="8822F1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36907C9D"/>
    <w:multiLevelType w:val="hybridMultilevel"/>
    <w:tmpl w:val="C41C19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39DB4104"/>
    <w:multiLevelType w:val="hybridMultilevel"/>
    <w:tmpl w:val="786AFBAC"/>
    <w:lvl w:ilvl="0" w:tplc="04070017">
      <w:start w:val="1"/>
      <w:numFmt w:val="lowerLetter"/>
      <w:lvlText w:val="%1)"/>
      <w:lvlJc w:val="left"/>
      <w:pPr>
        <w:ind w:left="760" w:hanging="360"/>
      </w:pPr>
    </w:lvl>
    <w:lvl w:ilvl="1" w:tplc="04070019" w:tentative="1">
      <w:start w:val="1"/>
      <w:numFmt w:val="lowerLetter"/>
      <w:lvlText w:val="%2."/>
      <w:lvlJc w:val="left"/>
      <w:pPr>
        <w:ind w:left="1480" w:hanging="360"/>
      </w:pPr>
    </w:lvl>
    <w:lvl w:ilvl="2" w:tplc="0407001B" w:tentative="1">
      <w:start w:val="1"/>
      <w:numFmt w:val="lowerRoman"/>
      <w:lvlText w:val="%3."/>
      <w:lvlJc w:val="right"/>
      <w:pPr>
        <w:ind w:left="2200" w:hanging="180"/>
      </w:pPr>
    </w:lvl>
    <w:lvl w:ilvl="3" w:tplc="0407000F" w:tentative="1">
      <w:start w:val="1"/>
      <w:numFmt w:val="decimal"/>
      <w:lvlText w:val="%4."/>
      <w:lvlJc w:val="left"/>
      <w:pPr>
        <w:ind w:left="2920" w:hanging="360"/>
      </w:pPr>
    </w:lvl>
    <w:lvl w:ilvl="4" w:tplc="04070019" w:tentative="1">
      <w:start w:val="1"/>
      <w:numFmt w:val="lowerLetter"/>
      <w:lvlText w:val="%5."/>
      <w:lvlJc w:val="left"/>
      <w:pPr>
        <w:ind w:left="3640" w:hanging="360"/>
      </w:pPr>
    </w:lvl>
    <w:lvl w:ilvl="5" w:tplc="0407001B" w:tentative="1">
      <w:start w:val="1"/>
      <w:numFmt w:val="lowerRoman"/>
      <w:lvlText w:val="%6."/>
      <w:lvlJc w:val="right"/>
      <w:pPr>
        <w:ind w:left="4360" w:hanging="180"/>
      </w:pPr>
    </w:lvl>
    <w:lvl w:ilvl="6" w:tplc="0407000F" w:tentative="1">
      <w:start w:val="1"/>
      <w:numFmt w:val="decimal"/>
      <w:lvlText w:val="%7."/>
      <w:lvlJc w:val="left"/>
      <w:pPr>
        <w:ind w:left="5080" w:hanging="360"/>
      </w:pPr>
    </w:lvl>
    <w:lvl w:ilvl="7" w:tplc="04070019" w:tentative="1">
      <w:start w:val="1"/>
      <w:numFmt w:val="lowerLetter"/>
      <w:lvlText w:val="%8."/>
      <w:lvlJc w:val="left"/>
      <w:pPr>
        <w:ind w:left="5800" w:hanging="360"/>
      </w:pPr>
    </w:lvl>
    <w:lvl w:ilvl="8" w:tplc="0407001B" w:tentative="1">
      <w:start w:val="1"/>
      <w:numFmt w:val="lowerRoman"/>
      <w:lvlText w:val="%9."/>
      <w:lvlJc w:val="right"/>
      <w:pPr>
        <w:ind w:left="6520" w:hanging="180"/>
      </w:pPr>
    </w:lvl>
  </w:abstractNum>
  <w:abstractNum w:abstractNumId="17" w15:restartNumberingAfterBreak="0">
    <w:nsid w:val="3DCB61CE"/>
    <w:multiLevelType w:val="hybridMultilevel"/>
    <w:tmpl w:val="81F2C590"/>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48D027C2"/>
    <w:multiLevelType w:val="hybridMultilevel"/>
    <w:tmpl w:val="E2D236C6"/>
    <w:lvl w:ilvl="0" w:tplc="CC8CC562">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4E141204"/>
    <w:multiLevelType w:val="multilevel"/>
    <w:tmpl w:val="B7606B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0244D1C"/>
    <w:multiLevelType w:val="hybridMultilevel"/>
    <w:tmpl w:val="CCC41CF0"/>
    <w:lvl w:ilvl="0" w:tplc="04070017">
      <w:start w:val="1"/>
      <w:numFmt w:val="lowerLetter"/>
      <w:lvlText w:val="%1)"/>
      <w:lvlJc w:val="left"/>
      <w:pPr>
        <w:ind w:left="1480" w:hanging="360"/>
      </w:pPr>
    </w:lvl>
    <w:lvl w:ilvl="1" w:tplc="04070019" w:tentative="1">
      <w:start w:val="1"/>
      <w:numFmt w:val="lowerLetter"/>
      <w:lvlText w:val="%2."/>
      <w:lvlJc w:val="left"/>
      <w:pPr>
        <w:ind w:left="2200" w:hanging="360"/>
      </w:pPr>
    </w:lvl>
    <w:lvl w:ilvl="2" w:tplc="0407001B" w:tentative="1">
      <w:start w:val="1"/>
      <w:numFmt w:val="lowerRoman"/>
      <w:lvlText w:val="%3."/>
      <w:lvlJc w:val="right"/>
      <w:pPr>
        <w:ind w:left="2920" w:hanging="180"/>
      </w:pPr>
    </w:lvl>
    <w:lvl w:ilvl="3" w:tplc="0407000F" w:tentative="1">
      <w:start w:val="1"/>
      <w:numFmt w:val="decimal"/>
      <w:lvlText w:val="%4."/>
      <w:lvlJc w:val="left"/>
      <w:pPr>
        <w:ind w:left="3640" w:hanging="360"/>
      </w:pPr>
    </w:lvl>
    <w:lvl w:ilvl="4" w:tplc="04070019" w:tentative="1">
      <w:start w:val="1"/>
      <w:numFmt w:val="lowerLetter"/>
      <w:lvlText w:val="%5."/>
      <w:lvlJc w:val="left"/>
      <w:pPr>
        <w:ind w:left="4360" w:hanging="360"/>
      </w:pPr>
    </w:lvl>
    <w:lvl w:ilvl="5" w:tplc="0407001B" w:tentative="1">
      <w:start w:val="1"/>
      <w:numFmt w:val="lowerRoman"/>
      <w:lvlText w:val="%6."/>
      <w:lvlJc w:val="right"/>
      <w:pPr>
        <w:ind w:left="5080" w:hanging="180"/>
      </w:pPr>
    </w:lvl>
    <w:lvl w:ilvl="6" w:tplc="0407000F" w:tentative="1">
      <w:start w:val="1"/>
      <w:numFmt w:val="decimal"/>
      <w:lvlText w:val="%7."/>
      <w:lvlJc w:val="left"/>
      <w:pPr>
        <w:ind w:left="5800" w:hanging="360"/>
      </w:pPr>
    </w:lvl>
    <w:lvl w:ilvl="7" w:tplc="04070019" w:tentative="1">
      <w:start w:val="1"/>
      <w:numFmt w:val="lowerLetter"/>
      <w:lvlText w:val="%8."/>
      <w:lvlJc w:val="left"/>
      <w:pPr>
        <w:ind w:left="6520" w:hanging="360"/>
      </w:pPr>
    </w:lvl>
    <w:lvl w:ilvl="8" w:tplc="0407001B" w:tentative="1">
      <w:start w:val="1"/>
      <w:numFmt w:val="lowerRoman"/>
      <w:lvlText w:val="%9."/>
      <w:lvlJc w:val="right"/>
      <w:pPr>
        <w:ind w:left="7240" w:hanging="180"/>
      </w:pPr>
    </w:lvl>
  </w:abstractNum>
  <w:abstractNum w:abstractNumId="21" w15:restartNumberingAfterBreak="0">
    <w:nsid w:val="538A2DEB"/>
    <w:multiLevelType w:val="hybridMultilevel"/>
    <w:tmpl w:val="A5DC5522"/>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599B5257"/>
    <w:multiLevelType w:val="multilevel"/>
    <w:tmpl w:val="5A886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DDF0595"/>
    <w:multiLevelType w:val="hybridMultilevel"/>
    <w:tmpl w:val="C01EE5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5F545390"/>
    <w:multiLevelType w:val="hybridMultilevel"/>
    <w:tmpl w:val="093819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6C317546"/>
    <w:multiLevelType w:val="hybridMultilevel"/>
    <w:tmpl w:val="EF960E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712D1151"/>
    <w:multiLevelType w:val="multilevel"/>
    <w:tmpl w:val="070C9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34F5BFC"/>
    <w:multiLevelType w:val="multilevel"/>
    <w:tmpl w:val="4DA40A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9CB311F"/>
    <w:multiLevelType w:val="hybridMultilevel"/>
    <w:tmpl w:val="50924AA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7C1A4477"/>
    <w:multiLevelType w:val="hybridMultilevel"/>
    <w:tmpl w:val="76587F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7D493893"/>
    <w:multiLevelType w:val="hybridMultilevel"/>
    <w:tmpl w:val="17B24F4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2"/>
  </w:num>
  <w:num w:numId="2">
    <w:abstractNumId w:val="10"/>
  </w:num>
  <w:num w:numId="3">
    <w:abstractNumId w:val="26"/>
  </w:num>
  <w:num w:numId="4">
    <w:abstractNumId w:val="3"/>
  </w:num>
  <w:num w:numId="5">
    <w:abstractNumId w:val="27"/>
  </w:num>
  <w:num w:numId="6">
    <w:abstractNumId w:val="9"/>
  </w:num>
  <w:num w:numId="7">
    <w:abstractNumId w:val="12"/>
  </w:num>
  <w:num w:numId="8">
    <w:abstractNumId w:val="28"/>
  </w:num>
  <w:num w:numId="9">
    <w:abstractNumId w:val="4"/>
  </w:num>
  <w:num w:numId="10">
    <w:abstractNumId w:val="6"/>
  </w:num>
  <w:num w:numId="11">
    <w:abstractNumId w:val="16"/>
  </w:num>
  <w:num w:numId="12">
    <w:abstractNumId w:val="20"/>
  </w:num>
  <w:num w:numId="13">
    <w:abstractNumId w:val="17"/>
  </w:num>
  <w:num w:numId="14">
    <w:abstractNumId w:val="21"/>
  </w:num>
  <w:num w:numId="15">
    <w:abstractNumId w:val="15"/>
  </w:num>
  <w:num w:numId="16">
    <w:abstractNumId w:val="14"/>
  </w:num>
  <w:num w:numId="17">
    <w:abstractNumId w:val="5"/>
  </w:num>
  <w:num w:numId="18">
    <w:abstractNumId w:val="24"/>
  </w:num>
  <w:num w:numId="19">
    <w:abstractNumId w:val="7"/>
  </w:num>
  <w:num w:numId="20">
    <w:abstractNumId w:val="23"/>
  </w:num>
  <w:num w:numId="21">
    <w:abstractNumId w:val="29"/>
  </w:num>
  <w:num w:numId="22">
    <w:abstractNumId w:val="25"/>
  </w:num>
  <w:num w:numId="23">
    <w:abstractNumId w:val="30"/>
  </w:num>
  <w:num w:numId="24">
    <w:abstractNumId w:val="11"/>
  </w:num>
  <w:num w:numId="25">
    <w:abstractNumId w:val="1"/>
  </w:num>
  <w:num w:numId="26">
    <w:abstractNumId w:val="8"/>
  </w:num>
  <w:num w:numId="27">
    <w:abstractNumId w:val="19"/>
  </w:num>
  <w:num w:numId="28">
    <w:abstractNumId w:val="13"/>
  </w:num>
  <w:num w:numId="29">
    <w:abstractNumId w:val="0"/>
  </w:num>
  <w:num w:numId="30">
    <w:abstractNumId w:val="2"/>
  </w:num>
  <w:num w:numId="3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1024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401"/>
    <o:shapelayout v:ext="edit">
      <o:idmap v:ext="edit" data="1"/>
    </o:shapelayout>
  </w:shapeDefaults>
  <w:decimalSymbol w:val=","/>
  <w:listSeparator w:val=";"/>
  <w15:chartTrackingRefBased/>
  <w15:docId w15:val="{068C475F-88E4-4EEE-AB69-6D9F50D16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240" w:after="0" w:line="240" w:lineRule="auto"/>
      <w:jc w:val="center"/>
      <w:outlineLvl w:val="0"/>
    </w:pPr>
    <w:rPr>
      <w:rFonts w:ascii="Calibri" w:eastAsiaTheme="majorEastAsia" w:hAnsi="Calibri" w:cstheme="majorBidi"/>
      <w:b/>
      <w:sz w:val="32"/>
      <w:szCs w:val="32"/>
    </w:rPr>
  </w:style>
  <w:style w:type="paragraph" w:styleId="berschrift2">
    <w:name w:val="heading 2"/>
    <w:basedOn w:val="Standard"/>
    <w:next w:val="Standard"/>
    <w:link w:val="berschrift2Zchn"/>
    <w:uiPriority w:val="9"/>
    <w:unhideWhenUsed/>
    <w:qFormat/>
    <w:pPr>
      <w:keepNext/>
      <w:keepLines/>
      <w:spacing w:before="40" w:after="0" w:line="360" w:lineRule="auto"/>
      <w:outlineLvl w:val="1"/>
    </w:pPr>
    <w:rPr>
      <w:rFonts w:ascii="Calibri" w:eastAsiaTheme="majorEastAsia" w:hAnsi="Calibri" w:cstheme="majorBidi"/>
      <w:b/>
      <w:szCs w:val="26"/>
    </w:rPr>
  </w:style>
  <w:style w:type="paragraph" w:styleId="berschrift3">
    <w:name w:val="heading 3"/>
    <w:basedOn w:val="Standard"/>
    <w:next w:val="Standard"/>
    <w:link w:val="berschrift3Zchn"/>
    <w:uiPriority w:val="9"/>
    <w:unhideWhenUsed/>
    <w:qFormat/>
    <w:pPr>
      <w:keepNext/>
      <w:keepLines/>
      <w:spacing w:before="40" w:after="0" w:line="360" w:lineRule="auto"/>
      <w:outlineLvl w:val="2"/>
    </w:pPr>
    <w:rPr>
      <w:rFonts w:ascii="Calibri" w:eastAsiaTheme="majorEastAsia" w:hAnsi="Calibri" w:cstheme="majorBidi"/>
      <w:b/>
      <w:szCs w:val="24"/>
    </w:rPr>
  </w:style>
  <w:style w:type="paragraph" w:styleId="berschrift4">
    <w:name w:val="heading 4"/>
    <w:basedOn w:val="Standard"/>
    <w:next w:val="Standard"/>
    <w:link w:val="berschrift4Zchn"/>
    <w:uiPriority w:val="9"/>
    <w:unhideWhenUsed/>
    <w:qFormat/>
    <w:pPr>
      <w:keepNext/>
      <w:keepLines/>
      <w:spacing w:before="40" w:after="0"/>
      <w:outlineLvl w:val="3"/>
    </w:pPr>
    <w:rPr>
      <w:rFonts w:asciiTheme="majorHAnsi" w:eastAsiaTheme="majorEastAsia" w:hAnsiTheme="majorHAnsi" w:cstheme="majorBidi"/>
      <w:i/>
      <w:iCs/>
      <w:color w:val="153153"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paragraph" w:customStyle="1" w:styleId="PHHDA4AushangHeadline1">
    <w:name w:val="PHHD A4 Aushang Headline 1"/>
    <w:basedOn w:val="Standard"/>
    <w:qFormat/>
    <w:pPr>
      <w:spacing w:after="240" w:line="240" w:lineRule="auto"/>
    </w:pPr>
    <w:rPr>
      <w:b/>
      <w:bCs/>
      <w:sz w:val="144"/>
      <w:szCs w:val="144"/>
    </w:rPr>
  </w:style>
  <w:style w:type="paragraph" w:customStyle="1" w:styleId="PHHDA4AushangSublineH2">
    <w:name w:val="PHHD A4 Aushang Subline H2"/>
    <w:basedOn w:val="PHHDA4AushangHeadline1"/>
    <w:qFormat/>
    <w:rPr>
      <w:sz w:val="96"/>
      <w:szCs w:val="96"/>
    </w:rPr>
  </w:style>
  <w:style w:type="paragraph" w:customStyle="1" w:styleId="PHHDA4AushangFusszeile">
    <w:name w:val="PHHD A4 Aushang Fusszeile"/>
    <w:basedOn w:val="PHHDA4AushangHeadline1"/>
    <w:qFormat/>
    <w:rPr>
      <w:b w:val="0"/>
      <w:bCs w:val="0"/>
      <w:sz w:val="40"/>
      <w:szCs w:val="40"/>
    </w:rPr>
  </w:style>
  <w:style w:type="paragraph" w:styleId="Textkrper">
    <w:name w:val="Body Text"/>
    <w:basedOn w:val="Standard"/>
    <w:link w:val="TextkrperZchn"/>
    <w:uiPriority w:val="99"/>
    <w:semiHidden/>
    <w:unhideWhenUsed/>
    <w:pPr>
      <w:spacing w:after="120"/>
    </w:pPr>
  </w:style>
  <w:style w:type="character" w:customStyle="1" w:styleId="TextkrperZchn">
    <w:name w:val="Textkörper Zchn"/>
    <w:basedOn w:val="Absatz-Standardschriftart"/>
    <w:link w:val="Textkrper"/>
    <w:uiPriority w:val="99"/>
    <w:semiHidden/>
  </w:style>
  <w:style w:type="paragraph" w:styleId="KeinLeerraum">
    <w:name w:val="No Spacing"/>
    <w:uiPriority w:val="1"/>
    <w:qFormat/>
    <w:pPr>
      <w:spacing w:after="0" w:line="240" w:lineRule="auto"/>
    </w:pPr>
  </w:style>
  <w:style w:type="table" w:styleId="Tabellenraster">
    <w:name w:val="Table Grid"/>
    <w:basedOn w:val="NormaleTabelle"/>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Pr>
      <w:color w:val="015686" w:themeColor="hyperlink"/>
      <w:u w:val="single"/>
    </w:rPr>
  </w:style>
  <w:style w:type="character" w:styleId="NichtaufgelsteErwhnung">
    <w:name w:val="Unresolved Mention"/>
    <w:basedOn w:val="Absatz-Standardschriftart"/>
    <w:uiPriority w:val="99"/>
    <w:semiHidden/>
    <w:unhideWhenUsed/>
    <w:rPr>
      <w:color w:val="605E5C"/>
      <w:shd w:val="clear" w:color="auto" w:fill="E1DFDD"/>
    </w:rPr>
  </w:style>
  <w:style w:type="paragraph" w:styleId="Listenabsatz">
    <w:name w:val="List Paragraph"/>
    <w:basedOn w:val="Standard"/>
    <w:uiPriority w:val="34"/>
    <w:qFormat/>
    <w:pPr>
      <w:ind w:left="720"/>
      <w:contextualSpacing/>
    </w:p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sz w:val="20"/>
      <w:szCs w:val="2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b/>
      <w:bCs/>
      <w:sz w:val="20"/>
      <w:szCs w:val="20"/>
    </w:rPr>
  </w:style>
  <w:style w:type="paragraph" w:styleId="Sprechblasentext">
    <w:name w:val="Balloon Text"/>
    <w:basedOn w:val="Standard"/>
    <w:link w:val="SprechblasentextZchn"/>
    <w:uiPriority w:val="99"/>
    <w:semiHidden/>
    <w:unhideWhenUs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character" w:customStyle="1" w:styleId="berschrift1Zchn">
    <w:name w:val="Überschrift 1 Zchn"/>
    <w:basedOn w:val="Absatz-Standardschriftart"/>
    <w:link w:val="berschrift1"/>
    <w:uiPriority w:val="9"/>
    <w:rPr>
      <w:rFonts w:ascii="Calibri" w:eastAsiaTheme="majorEastAsia" w:hAnsi="Calibri" w:cstheme="majorBidi"/>
      <w:b/>
      <w:sz w:val="32"/>
      <w:szCs w:val="32"/>
    </w:rPr>
  </w:style>
  <w:style w:type="character" w:customStyle="1" w:styleId="berschrift2Zchn">
    <w:name w:val="Überschrift 2 Zchn"/>
    <w:basedOn w:val="Absatz-Standardschriftart"/>
    <w:link w:val="berschrift2"/>
    <w:uiPriority w:val="9"/>
    <w:rPr>
      <w:rFonts w:ascii="Calibri" w:eastAsiaTheme="majorEastAsia" w:hAnsi="Calibri" w:cstheme="majorBidi"/>
      <w:b/>
      <w:szCs w:val="26"/>
    </w:rPr>
  </w:style>
  <w:style w:type="character" w:customStyle="1" w:styleId="berschrift3Zchn">
    <w:name w:val="Überschrift 3 Zchn"/>
    <w:basedOn w:val="Absatz-Standardschriftart"/>
    <w:link w:val="berschrift3"/>
    <w:uiPriority w:val="9"/>
    <w:rPr>
      <w:rFonts w:ascii="Calibri" w:eastAsiaTheme="majorEastAsia" w:hAnsi="Calibri" w:cstheme="majorBidi"/>
      <w:b/>
      <w:szCs w:val="24"/>
    </w:rPr>
  </w:style>
  <w:style w:type="character" w:customStyle="1" w:styleId="berschrift4Zchn">
    <w:name w:val="Überschrift 4 Zchn"/>
    <w:basedOn w:val="Absatz-Standardschriftart"/>
    <w:link w:val="berschrift4"/>
    <w:uiPriority w:val="9"/>
    <w:rPr>
      <w:rFonts w:asciiTheme="majorHAnsi" w:eastAsiaTheme="majorEastAsia" w:hAnsiTheme="majorHAnsi" w:cstheme="majorBidi"/>
      <w:i/>
      <w:iCs/>
      <w:color w:val="153153"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817132">
      <w:bodyDiv w:val="1"/>
      <w:marLeft w:val="0"/>
      <w:marRight w:val="0"/>
      <w:marTop w:val="0"/>
      <w:marBottom w:val="0"/>
      <w:divBdr>
        <w:top w:val="none" w:sz="0" w:space="0" w:color="auto"/>
        <w:left w:val="none" w:sz="0" w:space="0" w:color="auto"/>
        <w:bottom w:val="none" w:sz="0" w:space="0" w:color="auto"/>
        <w:right w:val="none" w:sz="0" w:space="0" w:color="auto"/>
      </w:divBdr>
    </w:div>
    <w:div w:id="1086805800">
      <w:bodyDiv w:val="1"/>
      <w:marLeft w:val="0"/>
      <w:marRight w:val="0"/>
      <w:marTop w:val="0"/>
      <w:marBottom w:val="0"/>
      <w:divBdr>
        <w:top w:val="none" w:sz="0" w:space="0" w:color="auto"/>
        <w:left w:val="none" w:sz="0" w:space="0" w:color="auto"/>
        <w:bottom w:val="none" w:sz="0" w:space="0" w:color="auto"/>
        <w:right w:val="none" w:sz="0" w:space="0" w:color="auto"/>
      </w:divBdr>
    </w:div>
    <w:div w:id="1245844076">
      <w:bodyDiv w:val="1"/>
      <w:marLeft w:val="0"/>
      <w:marRight w:val="0"/>
      <w:marTop w:val="0"/>
      <w:marBottom w:val="0"/>
      <w:divBdr>
        <w:top w:val="none" w:sz="0" w:space="0" w:color="auto"/>
        <w:left w:val="none" w:sz="0" w:space="0" w:color="auto"/>
        <w:bottom w:val="none" w:sz="0" w:space="0" w:color="auto"/>
        <w:right w:val="none" w:sz="0" w:space="0" w:color="auto"/>
      </w:divBdr>
    </w:div>
    <w:div w:id="1345478854">
      <w:bodyDiv w:val="1"/>
      <w:marLeft w:val="0"/>
      <w:marRight w:val="0"/>
      <w:marTop w:val="0"/>
      <w:marBottom w:val="0"/>
      <w:divBdr>
        <w:top w:val="none" w:sz="0" w:space="0" w:color="auto"/>
        <w:left w:val="none" w:sz="0" w:space="0" w:color="auto"/>
        <w:bottom w:val="none" w:sz="0" w:space="0" w:color="auto"/>
        <w:right w:val="none" w:sz="0" w:space="0" w:color="auto"/>
      </w:divBdr>
    </w:div>
    <w:div w:id="1415203344">
      <w:bodyDiv w:val="1"/>
      <w:marLeft w:val="0"/>
      <w:marRight w:val="0"/>
      <w:marTop w:val="0"/>
      <w:marBottom w:val="0"/>
      <w:divBdr>
        <w:top w:val="none" w:sz="0" w:space="0" w:color="auto"/>
        <w:left w:val="none" w:sz="0" w:space="0" w:color="auto"/>
        <w:bottom w:val="none" w:sz="0" w:space="0" w:color="auto"/>
        <w:right w:val="none" w:sz="0" w:space="0" w:color="auto"/>
      </w:divBdr>
      <w:divsChild>
        <w:div w:id="866797709">
          <w:marLeft w:val="0"/>
          <w:marRight w:val="0"/>
          <w:marTop w:val="0"/>
          <w:marBottom w:val="0"/>
          <w:divBdr>
            <w:top w:val="none" w:sz="0" w:space="0" w:color="auto"/>
            <w:left w:val="none" w:sz="0" w:space="0" w:color="auto"/>
            <w:bottom w:val="none" w:sz="0" w:space="0" w:color="auto"/>
            <w:right w:val="none" w:sz="0" w:space="0" w:color="auto"/>
          </w:divBdr>
          <w:divsChild>
            <w:div w:id="2052681086">
              <w:marLeft w:val="0"/>
              <w:marRight w:val="0"/>
              <w:marTop w:val="0"/>
              <w:marBottom w:val="0"/>
              <w:divBdr>
                <w:top w:val="none" w:sz="0" w:space="0" w:color="auto"/>
                <w:left w:val="none" w:sz="0" w:space="0" w:color="auto"/>
                <w:bottom w:val="none" w:sz="0" w:space="0" w:color="auto"/>
                <w:right w:val="none" w:sz="0" w:space="0" w:color="auto"/>
              </w:divBdr>
              <w:divsChild>
                <w:div w:id="1250113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461198">
          <w:marLeft w:val="0"/>
          <w:marRight w:val="0"/>
          <w:marTop w:val="0"/>
          <w:marBottom w:val="0"/>
          <w:divBdr>
            <w:top w:val="none" w:sz="0" w:space="0" w:color="auto"/>
            <w:left w:val="none" w:sz="0" w:space="0" w:color="auto"/>
            <w:bottom w:val="none" w:sz="0" w:space="0" w:color="auto"/>
            <w:right w:val="none" w:sz="0" w:space="0" w:color="auto"/>
          </w:divBdr>
          <w:divsChild>
            <w:div w:id="1221553754">
              <w:marLeft w:val="0"/>
              <w:marRight w:val="0"/>
              <w:marTop w:val="0"/>
              <w:marBottom w:val="0"/>
              <w:divBdr>
                <w:top w:val="none" w:sz="0" w:space="0" w:color="auto"/>
                <w:left w:val="none" w:sz="0" w:space="0" w:color="auto"/>
                <w:bottom w:val="none" w:sz="0" w:space="0" w:color="auto"/>
                <w:right w:val="none" w:sz="0" w:space="0" w:color="auto"/>
              </w:divBdr>
            </w:div>
          </w:divsChild>
        </w:div>
        <w:div w:id="1264922269">
          <w:marLeft w:val="0"/>
          <w:marRight w:val="0"/>
          <w:marTop w:val="0"/>
          <w:marBottom w:val="0"/>
          <w:divBdr>
            <w:top w:val="none" w:sz="0" w:space="0" w:color="auto"/>
            <w:left w:val="none" w:sz="0" w:space="0" w:color="auto"/>
            <w:bottom w:val="none" w:sz="0" w:space="0" w:color="auto"/>
            <w:right w:val="none" w:sz="0" w:space="0" w:color="auto"/>
          </w:divBdr>
          <w:divsChild>
            <w:div w:id="1261377836">
              <w:marLeft w:val="0"/>
              <w:marRight w:val="0"/>
              <w:marTop w:val="0"/>
              <w:marBottom w:val="0"/>
              <w:divBdr>
                <w:top w:val="none" w:sz="0" w:space="0" w:color="auto"/>
                <w:left w:val="none" w:sz="0" w:space="0" w:color="auto"/>
                <w:bottom w:val="none" w:sz="0" w:space="0" w:color="auto"/>
                <w:right w:val="none" w:sz="0" w:space="0" w:color="auto"/>
              </w:divBdr>
              <w:divsChild>
                <w:div w:id="576207391">
                  <w:marLeft w:val="0"/>
                  <w:marRight w:val="0"/>
                  <w:marTop w:val="0"/>
                  <w:marBottom w:val="0"/>
                  <w:divBdr>
                    <w:top w:val="none" w:sz="0" w:space="0" w:color="auto"/>
                    <w:left w:val="none" w:sz="0" w:space="0" w:color="auto"/>
                    <w:bottom w:val="none" w:sz="0" w:space="0" w:color="auto"/>
                    <w:right w:val="none" w:sz="0" w:space="0" w:color="auto"/>
                  </w:divBdr>
                  <w:divsChild>
                    <w:div w:id="622348961">
                      <w:marLeft w:val="0"/>
                      <w:marRight w:val="0"/>
                      <w:marTop w:val="0"/>
                      <w:marBottom w:val="0"/>
                      <w:divBdr>
                        <w:top w:val="none" w:sz="0" w:space="0" w:color="auto"/>
                        <w:left w:val="none" w:sz="0" w:space="0" w:color="auto"/>
                        <w:bottom w:val="none" w:sz="0" w:space="0" w:color="auto"/>
                        <w:right w:val="none" w:sz="0" w:space="0" w:color="auto"/>
                      </w:divBdr>
                      <w:divsChild>
                        <w:div w:id="825785914">
                          <w:marLeft w:val="0"/>
                          <w:marRight w:val="0"/>
                          <w:marTop w:val="0"/>
                          <w:marBottom w:val="0"/>
                          <w:divBdr>
                            <w:top w:val="none" w:sz="0" w:space="0" w:color="auto"/>
                            <w:left w:val="none" w:sz="0" w:space="0" w:color="auto"/>
                            <w:bottom w:val="none" w:sz="0" w:space="0" w:color="auto"/>
                            <w:right w:val="none" w:sz="0" w:space="0" w:color="auto"/>
                          </w:divBdr>
                          <w:divsChild>
                            <w:div w:id="996416762">
                              <w:marLeft w:val="0"/>
                              <w:marRight w:val="0"/>
                              <w:marTop w:val="0"/>
                              <w:marBottom w:val="0"/>
                              <w:divBdr>
                                <w:top w:val="none" w:sz="0" w:space="0" w:color="auto"/>
                                <w:left w:val="none" w:sz="0" w:space="0" w:color="auto"/>
                                <w:bottom w:val="none" w:sz="0" w:space="0" w:color="auto"/>
                                <w:right w:val="none" w:sz="0" w:space="0" w:color="auto"/>
                              </w:divBdr>
                              <w:divsChild>
                                <w:div w:id="108923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0169984">
          <w:marLeft w:val="0"/>
          <w:marRight w:val="0"/>
          <w:marTop w:val="0"/>
          <w:marBottom w:val="0"/>
          <w:divBdr>
            <w:top w:val="none" w:sz="0" w:space="0" w:color="auto"/>
            <w:left w:val="none" w:sz="0" w:space="0" w:color="auto"/>
            <w:bottom w:val="none" w:sz="0" w:space="0" w:color="auto"/>
            <w:right w:val="none" w:sz="0" w:space="0" w:color="auto"/>
          </w:divBdr>
          <w:divsChild>
            <w:div w:id="1524519628">
              <w:marLeft w:val="0"/>
              <w:marRight w:val="0"/>
              <w:marTop w:val="0"/>
              <w:marBottom w:val="0"/>
              <w:divBdr>
                <w:top w:val="none" w:sz="0" w:space="0" w:color="auto"/>
                <w:left w:val="none" w:sz="0" w:space="0" w:color="auto"/>
                <w:bottom w:val="none" w:sz="0" w:space="0" w:color="auto"/>
                <w:right w:val="none" w:sz="0" w:space="0" w:color="auto"/>
              </w:divBdr>
              <w:divsChild>
                <w:div w:id="2084521634">
                  <w:marLeft w:val="0"/>
                  <w:marRight w:val="0"/>
                  <w:marTop w:val="0"/>
                  <w:marBottom w:val="0"/>
                  <w:divBdr>
                    <w:top w:val="none" w:sz="0" w:space="0" w:color="auto"/>
                    <w:left w:val="none" w:sz="0" w:space="0" w:color="auto"/>
                    <w:bottom w:val="none" w:sz="0" w:space="0" w:color="auto"/>
                    <w:right w:val="none" w:sz="0" w:space="0" w:color="auto"/>
                  </w:divBdr>
                  <w:divsChild>
                    <w:div w:id="288441410">
                      <w:marLeft w:val="0"/>
                      <w:marRight w:val="0"/>
                      <w:marTop w:val="0"/>
                      <w:marBottom w:val="0"/>
                      <w:divBdr>
                        <w:top w:val="none" w:sz="0" w:space="0" w:color="auto"/>
                        <w:left w:val="none" w:sz="0" w:space="0" w:color="auto"/>
                        <w:bottom w:val="none" w:sz="0" w:space="0" w:color="auto"/>
                        <w:right w:val="none" w:sz="0" w:space="0" w:color="auto"/>
                      </w:divBdr>
                      <w:divsChild>
                        <w:div w:id="1756248739">
                          <w:marLeft w:val="0"/>
                          <w:marRight w:val="0"/>
                          <w:marTop w:val="0"/>
                          <w:marBottom w:val="0"/>
                          <w:divBdr>
                            <w:top w:val="none" w:sz="0" w:space="0" w:color="auto"/>
                            <w:left w:val="none" w:sz="0" w:space="0" w:color="auto"/>
                            <w:bottom w:val="none" w:sz="0" w:space="0" w:color="auto"/>
                            <w:right w:val="none" w:sz="0" w:space="0" w:color="auto"/>
                          </w:divBdr>
                          <w:divsChild>
                            <w:div w:id="347102577">
                              <w:marLeft w:val="0"/>
                              <w:marRight w:val="0"/>
                              <w:marTop w:val="0"/>
                              <w:marBottom w:val="0"/>
                              <w:divBdr>
                                <w:top w:val="none" w:sz="0" w:space="0" w:color="auto"/>
                                <w:left w:val="none" w:sz="0" w:space="0" w:color="auto"/>
                                <w:bottom w:val="none" w:sz="0" w:space="0" w:color="auto"/>
                                <w:right w:val="none" w:sz="0" w:space="0" w:color="auto"/>
                              </w:divBdr>
                              <w:divsChild>
                                <w:div w:id="1244952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734040">
                      <w:marLeft w:val="0"/>
                      <w:marRight w:val="0"/>
                      <w:marTop w:val="0"/>
                      <w:marBottom w:val="0"/>
                      <w:divBdr>
                        <w:top w:val="none" w:sz="0" w:space="0" w:color="auto"/>
                        <w:left w:val="none" w:sz="0" w:space="0" w:color="auto"/>
                        <w:bottom w:val="none" w:sz="0" w:space="0" w:color="auto"/>
                        <w:right w:val="none" w:sz="0" w:space="0" w:color="auto"/>
                      </w:divBdr>
                    </w:div>
                    <w:div w:id="416633781">
                      <w:marLeft w:val="0"/>
                      <w:marRight w:val="0"/>
                      <w:marTop w:val="0"/>
                      <w:marBottom w:val="0"/>
                      <w:divBdr>
                        <w:top w:val="none" w:sz="0" w:space="0" w:color="auto"/>
                        <w:left w:val="none" w:sz="0" w:space="0" w:color="auto"/>
                        <w:bottom w:val="none" w:sz="0" w:space="0" w:color="auto"/>
                        <w:right w:val="none" w:sz="0" w:space="0" w:color="auto"/>
                      </w:divBdr>
                    </w:div>
                    <w:div w:id="1666517580">
                      <w:marLeft w:val="0"/>
                      <w:marRight w:val="0"/>
                      <w:marTop w:val="0"/>
                      <w:marBottom w:val="0"/>
                      <w:divBdr>
                        <w:top w:val="none" w:sz="0" w:space="0" w:color="auto"/>
                        <w:left w:val="none" w:sz="0" w:space="0" w:color="auto"/>
                        <w:bottom w:val="none" w:sz="0" w:space="0" w:color="auto"/>
                        <w:right w:val="none" w:sz="0" w:space="0" w:color="auto"/>
                      </w:divBdr>
                    </w:div>
                    <w:div w:id="34892255">
                      <w:marLeft w:val="0"/>
                      <w:marRight w:val="0"/>
                      <w:marTop w:val="0"/>
                      <w:marBottom w:val="0"/>
                      <w:divBdr>
                        <w:top w:val="none" w:sz="0" w:space="0" w:color="auto"/>
                        <w:left w:val="none" w:sz="0" w:space="0" w:color="auto"/>
                        <w:bottom w:val="none" w:sz="0" w:space="0" w:color="auto"/>
                        <w:right w:val="none" w:sz="0" w:space="0" w:color="auto"/>
                      </w:divBdr>
                    </w:div>
                    <w:div w:id="938295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029047">
          <w:marLeft w:val="0"/>
          <w:marRight w:val="0"/>
          <w:marTop w:val="0"/>
          <w:marBottom w:val="0"/>
          <w:divBdr>
            <w:top w:val="none" w:sz="0" w:space="0" w:color="auto"/>
            <w:left w:val="none" w:sz="0" w:space="0" w:color="auto"/>
            <w:bottom w:val="none" w:sz="0" w:space="0" w:color="auto"/>
            <w:right w:val="none" w:sz="0" w:space="0" w:color="auto"/>
          </w:divBdr>
          <w:divsChild>
            <w:div w:id="2030914767">
              <w:marLeft w:val="0"/>
              <w:marRight w:val="0"/>
              <w:marTop w:val="0"/>
              <w:marBottom w:val="0"/>
              <w:divBdr>
                <w:top w:val="none" w:sz="0" w:space="0" w:color="auto"/>
                <w:left w:val="none" w:sz="0" w:space="0" w:color="auto"/>
                <w:bottom w:val="none" w:sz="0" w:space="0" w:color="auto"/>
                <w:right w:val="none" w:sz="0" w:space="0" w:color="auto"/>
              </w:divBdr>
            </w:div>
          </w:divsChild>
        </w:div>
        <w:div w:id="246695282">
          <w:marLeft w:val="0"/>
          <w:marRight w:val="0"/>
          <w:marTop w:val="0"/>
          <w:marBottom w:val="0"/>
          <w:divBdr>
            <w:top w:val="none" w:sz="0" w:space="0" w:color="auto"/>
            <w:left w:val="none" w:sz="0" w:space="0" w:color="auto"/>
            <w:bottom w:val="none" w:sz="0" w:space="0" w:color="auto"/>
            <w:right w:val="none" w:sz="0" w:space="0" w:color="auto"/>
          </w:divBdr>
          <w:divsChild>
            <w:div w:id="1174224207">
              <w:marLeft w:val="0"/>
              <w:marRight w:val="0"/>
              <w:marTop w:val="0"/>
              <w:marBottom w:val="0"/>
              <w:divBdr>
                <w:top w:val="none" w:sz="0" w:space="0" w:color="auto"/>
                <w:left w:val="none" w:sz="0" w:space="0" w:color="auto"/>
                <w:bottom w:val="none" w:sz="0" w:space="0" w:color="auto"/>
                <w:right w:val="none" w:sz="0" w:space="0" w:color="auto"/>
              </w:divBdr>
              <w:divsChild>
                <w:div w:id="1145274148">
                  <w:marLeft w:val="0"/>
                  <w:marRight w:val="0"/>
                  <w:marTop w:val="0"/>
                  <w:marBottom w:val="0"/>
                  <w:divBdr>
                    <w:top w:val="none" w:sz="0" w:space="0" w:color="auto"/>
                    <w:left w:val="none" w:sz="0" w:space="0" w:color="auto"/>
                    <w:bottom w:val="none" w:sz="0" w:space="0" w:color="auto"/>
                    <w:right w:val="none" w:sz="0" w:space="0" w:color="auto"/>
                  </w:divBdr>
                  <w:divsChild>
                    <w:div w:id="799029994">
                      <w:marLeft w:val="0"/>
                      <w:marRight w:val="0"/>
                      <w:marTop w:val="0"/>
                      <w:marBottom w:val="0"/>
                      <w:divBdr>
                        <w:top w:val="none" w:sz="0" w:space="0" w:color="auto"/>
                        <w:left w:val="none" w:sz="0" w:space="0" w:color="auto"/>
                        <w:bottom w:val="none" w:sz="0" w:space="0" w:color="auto"/>
                        <w:right w:val="none" w:sz="0" w:space="0" w:color="auto"/>
                      </w:divBdr>
                      <w:divsChild>
                        <w:div w:id="1496608126">
                          <w:marLeft w:val="0"/>
                          <w:marRight w:val="0"/>
                          <w:marTop w:val="0"/>
                          <w:marBottom w:val="0"/>
                          <w:divBdr>
                            <w:top w:val="none" w:sz="0" w:space="0" w:color="auto"/>
                            <w:left w:val="none" w:sz="0" w:space="0" w:color="auto"/>
                            <w:bottom w:val="none" w:sz="0" w:space="0" w:color="auto"/>
                            <w:right w:val="none" w:sz="0" w:space="0" w:color="auto"/>
                          </w:divBdr>
                          <w:divsChild>
                            <w:div w:id="98377819">
                              <w:marLeft w:val="0"/>
                              <w:marRight w:val="0"/>
                              <w:marTop w:val="0"/>
                              <w:marBottom w:val="0"/>
                              <w:divBdr>
                                <w:top w:val="none" w:sz="0" w:space="0" w:color="auto"/>
                                <w:left w:val="none" w:sz="0" w:space="0" w:color="auto"/>
                                <w:bottom w:val="none" w:sz="0" w:space="0" w:color="auto"/>
                                <w:right w:val="none" w:sz="0" w:space="0" w:color="auto"/>
                              </w:divBdr>
                            </w:div>
                          </w:divsChild>
                        </w:div>
                        <w:div w:id="665211384">
                          <w:marLeft w:val="0"/>
                          <w:marRight w:val="0"/>
                          <w:marTop w:val="0"/>
                          <w:marBottom w:val="0"/>
                          <w:divBdr>
                            <w:top w:val="none" w:sz="0" w:space="0" w:color="auto"/>
                            <w:left w:val="none" w:sz="0" w:space="0" w:color="auto"/>
                            <w:bottom w:val="none" w:sz="0" w:space="0" w:color="auto"/>
                            <w:right w:val="none" w:sz="0" w:space="0" w:color="auto"/>
                          </w:divBdr>
                          <w:divsChild>
                            <w:div w:id="673066704">
                              <w:marLeft w:val="0"/>
                              <w:marRight w:val="0"/>
                              <w:marTop w:val="0"/>
                              <w:marBottom w:val="0"/>
                              <w:divBdr>
                                <w:top w:val="none" w:sz="0" w:space="0" w:color="auto"/>
                                <w:left w:val="none" w:sz="0" w:space="0" w:color="auto"/>
                                <w:bottom w:val="none" w:sz="0" w:space="0" w:color="auto"/>
                                <w:right w:val="none" w:sz="0" w:space="0" w:color="auto"/>
                              </w:divBdr>
                              <w:divsChild>
                                <w:div w:id="573004847">
                                  <w:marLeft w:val="0"/>
                                  <w:marRight w:val="0"/>
                                  <w:marTop w:val="0"/>
                                  <w:marBottom w:val="0"/>
                                  <w:divBdr>
                                    <w:top w:val="none" w:sz="0" w:space="0" w:color="auto"/>
                                    <w:left w:val="none" w:sz="0" w:space="0" w:color="auto"/>
                                    <w:bottom w:val="none" w:sz="0" w:space="0" w:color="auto"/>
                                    <w:right w:val="none" w:sz="0" w:space="0" w:color="auto"/>
                                  </w:divBdr>
                                </w:div>
                              </w:divsChild>
                            </w:div>
                            <w:div w:id="1900705951">
                              <w:marLeft w:val="0"/>
                              <w:marRight w:val="0"/>
                              <w:marTop w:val="0"/>
                              <w:marBottom w:val="0"/>
                              <w:divBdr>
                                <w:top w:val="none" w:sz="0" w:space="0" w:color="auto"/>
                                <w:left w:val="none" w:sz="0" w:space="0" w:color="auto"/>
                                <w:bottom w:val="none" w:sz="0" w:space="0" w:color="auto"/>
                                <w:right w:val="none" w:sz="0" w:space="0" w:color="auto"/>
                              </w:divBdr>
                              <w:divsChild>
                                <w:div w:id="1067193038">
                                  <w:marLeft w:val="0"/>
                                  <w:marRight w:val="0"/>
                                  <w:marTop w:val="0"/>
                                  <w:marBottom w:val="0"/>
                                  <w:divBdr>
                                    <w:top w:val="none" w:sz="0" w:space="0" w:color="auto"/>
                                    <w:left w:val="none" w:sz="0" w:space="0" w:color="auto"/>
                                    <w:bottom w:val="none" w:sz="0" w:space="0" w:color="auto"/>
                                    <w:right w:val="none" w:sz="0" w:space="0" w:color="auto"/>
                                  </w:divBdr>
                                  <w:divsChild>
                                    <w:div w:id="1395808981">
                                      <w:marLeft w:val="0"/>
                                      <w:marRight w:val="0"/>
                                      <w:marTop w:val="0"/>
                                      <w:marBottom w:val="0"/>
                                      <w:divBdr>
                                        <w:top w:val="none" w:sz="0" w:space="0" w:color="auto"/>
                                        <w:left w:val="none" w:sz="0" w:space="0" w:color="auto"/>
                                        <w:bottom w:val="none" w:sz="0" w:space="0" w:color="auto"/>
                                        <w:right w:val="none" w:sz="0" w:space="0" w:color="auto"/>
                                      </w:divBdr>
                                      <w:divsChild>
                                        <w:div w:id="1491872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1354756">
      <w:bodyDiv w:val="1"/>
      <w:marLeft w:val="0"/>
      <w:marRight w:val="0"/>
      <w:marTop w:val="0"/>
      <w:marBottom w:val="0"/>
      <w:divBdr>
        <w:top w:val="none" w:sz="0" w:space="0" w:color="auto"/>
        <w:left w:val="none" w:sz="0" w:space="0" w:color="auto"/>
        <w:bottom w:val="none" w:sz="0" w:space="0" w:color="auto"/>
        <w:right w:val="none" w:sz="0" w:space="0" w:color="auto"/>
      </w:divBdr>
    </w:div>
    <w:div w:id="2050178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sb@ph-heidelberg.d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sb@ph-heidelberg.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PHHD-PPT-DesignA-04-07-22">
  <a:themeElements>
    <a:clrScheme name="Benutzerdefiniert 1">
      <a:dk1>
        <a:srgbClr val="000000"/>
      </a:dk1>
      <a:lt1>
        <a:srgbClr val="FFFFFF"/>
      </a:lt1>
      <a:dk2>
        <a:srgbClr val="FFC40A"/>
      </a:dk2>
      <a:lt2>
        <a:srgbClr val="FFFFFF"/>
      </a:lt2>
      <a:accent1>
        <a:srgbClr val="1C426F"/>
      </a:accent1>
      <a:accent2>
        <a:srgbClr val="FFC40A"/>
      </a:accent2>
      <a:accent3>
        <a:srgbClr val="1C9AD7"/>
      </a:accent3>
      <a:accent4>
        <a:srgbClr val="D9E126"/>
      </a:accent4>
      <a:accent5>
        <a:srgbClr val="94788E"/>
      </a:accent5>
      <a:accent6>
        <a:srgbClr val="EA8B2D"/>
      </a:accent6>
      <a:hlink>
        <a:srgbClr val="015686"/>
      </a:hlink>
      <a:folHlink>
        <a:srgbClr val="1C9AD7"/>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PHHD-PPT-DesignA-04-07-22" id="{9FC8A935-4C08-4E95-82A5-AF0DEC3C06F8}" vid="{EB1F6791-1FB2-4732-80C3-A03E62BCE13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6C4211-62CC-4072-9BAB-D51DB408A8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2360</Words>
  <Characters>14871</Characters>
  <Application>Microsoft Office Word</Application>
  <DocSecurity>0</DocSecurity>
  <Lines>123</Lines>
  <Paragraphs>34</Paragraphs>
  <ScaleCrop>false</ScaleCrop>
  <HeadingPairs>
    <vt:vector size="2" baseType="variant">
      <vt:variant>
        <vt:lpstr>Titel</vt:lpstr>
      </vt:variant>
      <vt:variant>
        <vt:i4>1</vt:i4>
      </vt:variant>
    </vt:vector>
  </HeadingPairs>
  <TitlesOfParts>
    <vt:vector size="1" baseType="lpstr">
      <vt:lpstr>Datenschutzhinweise_Vorlage</vt:lpstr>
    </vt:vector>
  </TitlesOfParts>
  <Company/>
  <LinksUpToDate>false</LinksUpToDate>
  <CharactersWithSpaces>17197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Datenschutzhinweise_Vorlage</dc:title>
  <dc:subject/>
  <dc:creator>Schweitzer Vanessa</dc:creator>
  <cp:keywords/>
  <dc:description/>
  <cp:lastModifiedBy>Christoph Penshorn</cp:lastModifiedBy>
  <cp:revision>3</cp:revision>
  <cp:lastPrinted>2025-05-08T13:14:00Z</cp:lastPrinted>
  <dcterms:created xsi:type="dcterms:W3CDTF">2026-08-28T11:41:00Z</dcterms:created>
  <dcterms:modified xsi:type="dcterms:W3CDTF">2026-08-28T11:43:00Z</dcterms:modified>
</cp:coreProperties>
</file>